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51D7" w:rsidRDefault="00715CE0">
      <w:pPr>
        <w:spacing w:line="276" w:lineRule="auto"/>
        <w:jc w:val="center"/>
        <w:rPr>
          <w:rFonts w:ascii="Times New Roman" w:hAnsi="Times New Roman" w:cs="Times New Roman"/>
          <w:b/>
          <w:bCs/>
          <w:sz w:val="32"/>
          <w:szCs w:val="32"/>
        </w:rPr>
      </w:pPr>
      <w:r>
        <w:rPr>
          <w:rFonts w:ascii="Times New Roman" w:hAnsi="Times New Roman" w:cs="Times New Roman"/>
          <w:b/>
          <w:bCs/>
          <w:sz w:val="32"/>
          <w:szCs w:val="32"/>
        </w:rPr>
        <w:t>QUANTIFICATION OF HEAVY METALS, STEROIDS, AND THEIR HEALTH RISK ASSESSMENT IN LOCALLY MARKETED FACE WASH OF PAKISTAN</w:t>
      </w:r>
    </w:p>
    <w:p w:rsidR="003451D7" w:rsidRDefault="003451D7">
      <w:pPr>
        <w:spacing w:line="276" w:lineRule="auto"/>
        <w:jc w:val="center"/>
        <w:rPr>
          <w:rFonts w:ascii="Times New Roman" w:hAnsi="Times New Roman" w:cs="Times New Roman"/>
          <w:b/>
          <w:bCs/>
          <w:sz w:val="28"/>
          <w:szCs w:val="28"/>
        </w:rPr>
      </w:pPr>
    </w:p>
    <w:p w:rsidR="003451D7" w:rsidRDefault="00715CE0">
      <w:pPr>
        <w:spacing w:line="276" w:lineRule="auto"/>
        <w:jc w:val="center"/>
        <w:rPr>
          <w:rFonts w:ascii="Times New Roman" w:hAnsi="Times New Roman" w:cs="Times New Roman"/>
          <w:b/>
          <w:bCs/>
          <w:sz w:val="28"/>
          <w:szCs w:val="28"/>
        </w:rPr>
      </w:pPr>
      <w:r>
        <w:rPr>
          <w:rFonts w:ascii="Times New Roman" w:hAnsi="Times New Roman" w:cs="Times New Roman"/>
          <w:b/>
          <w:bCs/>
          <w:sz w:val="28"/>
          <w:szCs w:val="28"/>
        </w:rPr>
        <w:t>By</w:t>
      </w:r>
    </w:p>
    <w:p w:rsidR="003451D7" w:rsidRDefault="00715CE0">
      <w:pPr>
        <w:spacing w:line="276" w:lineRule="auto"/>
        <w:jc w:val="center"/>
        <w:rPr>
          <w:rFonts w:ascii="Times New Roman" w:hAnsi="Times New Roman" w:cs="Times New Roman"/>
          <w:b/>
          <w:bCs/>
          <w:sz w:val="28"/>
          <w:szCs w:val="28"/>
        </w:rPr>
      </w:pPr>
      <w:r>
        <w:rPr>
          <w:rFonts w:ascii="Times New Roman" w:hAnsi="Times New Roman" w:cs="Times New Roman"/>
          <w:b/>
          <w:bCs/>
          <w:sz w:val="28"/>
          <w:szCs w:val="28"/>
        </w:rPr>
        <w:t>Dua Fatima</w:t>
      </w:r>
    </w:p>
    <w:p w:rsidR="003451D7" w:rsidRDefault="003451D7">
      <w:pPr>
        <w:spacing w:line="276" w:lineRule="auto"/>
        <w:jc w:val="center"/>
        <w:rPr>
          <w:rFonts w:ascii="Times New Roman" w:hAnsi="Times New Roman" w:cs="Times New Roman"/>
          <w:b/>
          <w:bCs/>
          <w:sz w:val="28"/>
          <w:szCs w:val="28"/>
        </w:rPr>
      </w:pPr>
    </w:p>
    <w:p w:rsidR="003451D7" w:rsidRDefault="00715CE0">
      <w:pPr>
        <w:spacing w:line="276" w:lineRule="auto"/>
        <w:jc w:val="center"/>
        <w:rPr>
          <w:rFonts w:ascii="Times New Roman" w:hAnsi="Times New Roman" w:cs="Times New Roman"/>
          <w:sz w:val="24"/>
          <w:szCs w:val="24"/>
        </w:rPr>
      </w:pPr>
      <w:r>
        <w:rPr>
          <w:rFonts w:ascii="Times New Roman" w:hAnsi="Times New Roman" w:cs="Times New Roman"/>
          <w:sz w:val="24"/>
          <w:szCs w:val="24"/>
        </w:rPr>
        <w:t>Thesis submitted to Lahore School of Economics in fulfilment of the requirements for the degree of MPhil in Environmental Science and Policy</w:t>
      </w:r>
    </w:p>
    <w:p w:rsidR="003451D7" w:rsidRDefault="003451D7">
      <w:pPr>
        <w:spacing w:line="276" w:lineRule="auto"/>
        <w:jc w:val="center"/>
        <w:rPr>
          <w:rFonts w:ascii="Times New Roman" w:hAnsi="Times New Roman" w:cs="Times New Roman"/>
          <w:b/>
          <w:bCs/>
          <w:sz w:val="28"/>
          <w:szCs w:val="28"/>
        </w:rPr>
      </w:pPr>
    </w:p>
    <w:p w:rsidR="003451D7" w:rsidRDefault="00715CE0">
      <w:pPr>
        <w:spacing w:line="276" w:lineRule="auto"/>
        <w:jc w:val="center"/>
        <w:rPr>
          <w:rFonts w:ascii="Times New Roman" w:hAnsi="Times New Roman" w:cs="Times New Roman"/>
          <w:sz w:val="24"/>
          <w:szCs w:val="24"/>
        </w:rPr>
      </w:pPr>
      <w:r>
        <w:rPr>
          <w:rFonts w:ascii="Times New Roman" w:hAnsi="Times New Roman" w:cs="Times New Roman"/>
          <w:sz w:val="24"/>
          <w:szCs w:val="24"/>
        </w:rPr>
        <w:t>2022- 2025</w:t>
      </w:r>
    </w:p>
    <w:p w:rsidR="003451D7" w:rsidRDefault="00715CE0">
      <w:pPr>
        <w:spacing w:line="276" w:lineRule="auto"/>
        <w:jc w:val="center"/>
        <w:rPr>
          <w:rFonts w:ascii="Times New Roman" w:hAnsi="Times New Roman" w:cs="Times New Roman"/>
          <w:b/>
          <w:bCs/>
          <w:sz w:val="32"/>
          <w:szCs w:val="32"/>
        </w:rPr>
      </w:pPr>
      <w:r>
        <w:rPr>
          <w:rFonts w:ascii="Times New Roman" w:hAnsi="Times New Roman" w:cs="Times New Roman"/>
          <w:b/>
          <w:bCs/>
          <w:noProof/>
          <w:sz w:val="32"/>
          <w:szCs w:val="32"/>
        </w:rPr>
        <w:drawing>
          <wp:inline distT="0" distB="0" distL="0" distR="0">
            <wp:extent cx="2159635" cy="2159635"/>
            <wp:effectExtent l="0" t="0" r="0" b="0"/>
            <wp:docPr id="19290892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089279" name="Picture 1"/>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rsidR="003451D7" w:rsidRDefault="00715CE0">
      <w:pPr>
        <w:spacing w:line="276" w:lineRule="auto"/>
        <w:jc w:val="center"/>
        <w:rPr>
          <w:rFonts w:ascii="Times New Roman" w:hAnsi="Times New Roman" w:cs="Times New Roman"/>
          <w:sz w:val="24"/>
          <w:szCs w:val="24"/>
        </w:rPr>
      </w:pPr>
      <w:r>
        <w:rPr>
          <w:rFonts w:ascii="Times New Roman" w:hAnsi="Times New Roman" w:cs="Times New Roman"/>
          <w:b/>
          <w:bCs/>
          <w:sz w:val="24"/>
          <w:szCs w:val="24"/>
        </w:rPr>
        <w:t>Supervisor:</w:t>
      </w:r>
      <w:r>
        <w:rPr>
          <w:rFonts w:ascii="Times New Roman" w:hAnsi="Times New Roman" w:cs="Times New Roman"/>
          <w:sz w:val="24"/>
          <w:szCs w:val="24"/>
        </w:rPr>
        <w:t xml:space="preserve"> Prof. Dr. Muhammad Nawaz Chaudhry (FPAS)</w:t>
      </w:r>
    </w:p>
    <w:p w:rsidR="003451D7" w:rsidRDefault="00715CE0">
      <w:pPr>
        <w:spacing w:line="276" w:lineRule="auto"/>
        <w:jc w:val="center"/>
        <w:rPr>
          <w:rFonts w:ascii="Times New Roman" w:hAnsi="Times New Roman" w:cs="Times New Roman"/>
          <w:sz w:val="24"/>
          <w:szCs w:val="24"/>
        </w:rPr>
      </w:pPr>
      <w:r>
        <w:rPr>
          <w:rFonts w:ascii="Times New Roman" w:hAnsi="Times New Roman" w:cs="Times New Roman"/>
          <w:b/>
          <w:bCs/>
          <w:sz w:val="24"/>
          <w:szCs w:val="24"/>
        </w:rPr>
        <w:t>Co-supervisor:</w:t>
      </w:r>
      <w:r>
        <w:rPr>
          <w:rFonts w:ascii="Times New Roman" w:hAnsi="Times New Roman" w:cs="Times New Roman"/>
          <w:sz w:val="24"/>
          <w:szCs w:val="24"/>
        </w:rPr>
        <w:t xml:space="preserve"> Dr Naqi Hussain (Scientific Officer at PCSIR)</w:t>
      </w:r>
    </w:p>
    <w:p w:rsidR="003451D7" w:rsidRDefault="003451D7">
      <w:pPr>
        <w:spacing w:line="276" w:lineRule="auto"/>
        <w:jc w:val="center"/>
        <w:rPr>
          <w:rFonts w:ascii="Times New Roman" w:hAnsi="Times New Roman" w:cs="Times New Roman"/>
          <w:b/>
          <w:bCs/>
          <w:sz w:val="28"/>
          <w:szCs w:val="28"/>
        </w:rPr>
      </w:pPr>
    </w:p>
    <w:p w:rsidR="003451D7" w:rsidRDefault="00715CE0">
      <w:pPr>
        <w:spacing w:line="276" w:lineRule="auto"/>
        <w:jc w:val="center"/>
        <w:rPr>
          <w:rFonts w:ascii="Times New Roman" w:hAnsi="Times New Roman" w:cs="Times New Roman"/>
          <w:b/>
          <w:bCs/>
        </w:rPr>
      </w:pPr>
      <w:r>
        <w:rPr>
          <w:rFonts w:ascii="Times New Roman" w:hAnsi="Times New Roman" w:cs="Times New Roman"/>
          <w:b/>
          <w:bCs/>
        </w:rPr>
        <w:t>Copyright © 2023 Lahore School of Economics. All rights reserved</w:t>
      </w:r>
    </w:p>
    <w:p w:rsidR="003451D7" w:rsidRDefault="003451D7">
      <w:pPr>
        <w:spacing w:line="276" w:lineRule="auto"/>
        <w:jc w:val="center"/>
        <w:rPr>
          <w:rFonts w:ascii="Times New Roman" w:hAnsi="Times New Roman" w:cs="Times New Roman"/>
          <w:b/>
          <w:bCs/>
          <w:sz w:val="28"/>
          <w:szCs w:val="28"/>
        </w:rPr>
      </w:pPr>
    </w:p>
    <w:p w:rsidR="003451D7" w:rsidRDefault="00715CE0">
      <w:pPr>
        <w:spacing w:line="276" w:lineRule="auto"/>
        <w:jc w:val="both"/>
        <w:rPr>
          <w:rFonts w:ascii="Times New Roman" w:hAnsi="Times New Roman" w:cs="Times New Roman"/>
          <w:sz w:val="16"/>
          <w:szCs w:val="16"/>
        </w:rPr>
      </w:pPr>
      <w:r>
        <w:rPr>
          <w:rFonts w:ascii="Times New Roman" w:hAnsi="Times New Roman" w:cs="Times New Roman"/>
          <w:sz w:val="16"/>
          <w:szCs w:val="16"/>
          <w:vertAlign w:val="superscript"/>
        </w:rPr>
        <w:t>1</w:t>
      </w:r>
      <w:r>
        <w:rPr>
          <w:rFonts w:ascii="Times New Roman" w:hAnsi="Times New Roman" w:cs="Times New Roman"/>
          <w:sz w:val="16"/>
          <w:szCs w:val="16"/>
        </w:rPr>
        <w:t>The Lahore School of Economics hereby grants to the student permission to reproduce and to publish paper and electronic copies of this thesis document in whole or in part in any medium now known or hereafter created. The reproduction/publication will, however, carry the Lahore School of Economics copyright.</w:t>
      </w:r>
    </w:p>
    <w:p w:rsidR="003451D7" w:rsidRDefault="003451D7">
      <w:pPr>
        <w:spacing w:line="276" w:lineRule="auto"/>
        <w:rPr>
          <w:rFonts w:ascii="Times New Roman" w:hAnsi="Times New Roman" w:cs="Times New Roman"/>
          <w:sz w:val="28"/>
          <w:szCs w:val="28"/>
        </w:rPr>
        <w:sectPr w:rsidR="003451D7">
          <w:footerReference w:type="default" r:id="rId9"/>
          <w:footerReference w:type="first" r:id="rId10"/>
          <w:pgSz w:w="12240" w:h="15840"/>
          <w:pgMar w:top="1440" w:right="1440" w:bottom="1440" w:left="1440" w:header="708" w:footer="708" w:gutter="0"/>
          <w:pgNumType w:fmt="lowerRoman" w:start="1"/>
          <w:cols w:space="708"/>
          <w:docGrid w:linePitch="360"/>
        </w:sectPr>
      </w:pPr>
    </w:p>
    <w:p w:rsidR="003451D7" w:rsidRDefault="00715CE0">
      <w:pPr>
        <w:pStyle w:val="Pre-TOC"/>
        <w:outlineLvl w:val="0"/>
      </w:pPr>
      <w:bookmarkStart w:id="0" w:name="_Toc208820370"/>
      <w:r>
        <w:lastRenderedPageBreak/>
        <w:t>Abstract</w:t>
      </w:r>
      <w:bookmarkEnd w:id="0"/>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widespread use of face wash products in Pakistan requires a detailed investigation into their chemical composition and potential health effects, especially regarding undeclared hazardous substances. This research addresses a significant public health and environmental issue by measuring heavy metals, including Cadmium (Cd), Chromium (Cr), Copper (Cu), Nickel (Ni), and Lead (Pb), as well as steroids, in locally marketed face wash products. It also evaluates the associated risks to human health and the environment. The purpose of the study is to establish the level of contamination, health risks, evaluate environmental effects, and recommend improvements in the regulation. This was done with a survey of consumer awareness, physicochemical study, and proper quantification of heavy metals through atomic absorption spectrophotometry as well as steroid (Betamethasone and Hydrocortisone) by High-Performance Liquid Chromatography (HPLC). Health risk assessment was carried out in the form of calculation of the Chronic Daily Intake (CDI) and Hazard Quotient (HQ).</w:t>
      </w: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results indicated high prevalence of heavy metals and some of the samples to be above international regulatory limits. Remarkably, the proportion of samples containing Cd (up to 1.06 ppm) and Pb (up to 1.26 ppm), which is far beyond the standard limit of the EU and WHO. Worryingly the researchers also found the presence of the undeclared corticosteroids: 20% of the samples had Betamethasone (0.6-0.9%) and 40% had Hydrocortisone (0.2-2.4%) which is strictly forbidden in cosmetics because of severe dermatological and systemic side effects. Although HQ values of heavy metals for non-carcinogenic effects were very low (10</w:t>
      </w:r>
      <w:r>
        <w:rPr>
          <w:rFonts w:ascii="Times New Roman" w:hAnsi="Times New Roman" w:cs="Times New Roman"/>
          <w:sz w:val="24"/>
          <w:szCs w:val="24"/>
          <w:vertAlign w:val="superscript"/>
        </w:rPr>
        <w:t>−</w:t>
      </w:r>
      <w:r w:rsidR="009371DC">
        <w:rPr>
          <w:rFonts w:ascii="Times New Roman" w:hAnsi="Times New Roman" w:cs="Times New Roman"/>
          <w:sz w:val="24"/>
          <w:szCs w:val="24"/>
          <w:vertAlign w:val="superscript"/>
        </w:rPr>
        <w:t>4</w:t>
      </w:r>
      <w:r>
        <w:rPr>
          <w:rFonts w:ascii="Times New Roman" w:hAnsi="Times New Roman" w:cs="Times New Roman"/>
          <w:sz w:val="24"/>
          <w:szCs w:val="24"/>
        </w:rPr>
        <w:t xml:space="preserve"> to 10</w:t>
      </w:r>
      <w:r>
        <w:rPr>
          <w:rFonts w:ascii="Times New Roman" w:hAnsi="Times New Roman" w:cs="Times New Roman"/>
          <w:sz w:val="24"/>
          <w:szCs w:val="24"/>
          <w:vertAlign w:val="superscript"/>
        </w:rPr>
        <w:t>−</w:t>
      </w:r>
      <w:r w:rsidR="009371DC">
        <w:rPr>
          <w:rFonts w:ascii="Times New Roman" w:hAnsi="Times New Roman" w:cs="Times New Roman"/>
          <w:sz w:val="24"/>
          <w:szCs w:val="24"/>
          <w:vertAlign w:val="superscript"/>
        </w:rPr>
        <w:t>1</w:t>
      </w:r>
      <w:r>
        <w:rPr>
          <w:rFonts w:ascii="Times New Roman" w:hAnsi="Times New Roman" w:cs="Times New Roman"/>
          <w:sz w:val="24"/>
          <w:szCs w:val="24"/>
        </w:rPr>
        <w:t>), the presence of multiple heavy metals and potent steroids together raises serious concerns about cumulative and potential toxic effects. The environmental impact assessment showed that these chemicals are discharged into wastewater, potentially contaminating aquatic environments and entering the food chain. Based on these critical findings, the thesis recommends actions such as setting and enforcing comprehensive permissible limits, conducting regular market surveillance, launching public awareness campaigns, and strengthening legislation and testing capacities to protect public health and reduce environmental contamination from the cosmetic industry in Pakistan.</w:t>
      </w:r>
      <w:r>
        <w:rPr>
          <w:rFonts w:ascii="Times New Roman" w:hAnsi="Times New Roman" w:cs="Times New Roman"/>
          <w:sz w:val="24"/>
          <w:szCs w:val="24"/>
        </w:rPr>
        <w:br w:type="page"/>
      </w:r>
    </w:p>
    <w:p w:rsidR="003451D7" w:rsidRDefault="00715CE0">
      <w:pPr>
        <w:pStyle w:val="Pre-TOC"/>
        <w:outlineLvl w:val="0"/>
      </w:pPr>
      <w:bookmarkStart w:id="1" w:name="_Toc208820371"/>
      <w:r>
        <w:lastRenderedPageBreak/>
        <w:t>Dedication</w:t>
      </w:r>
      <w:bookmarkEnd w:id="1"/>
    </w:p>
    <w:p w:rsidR="003451D7" w:rsidRDefault="00715CE0">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I dedicate this thesis to my parents, professors and friends who put so much effort into making me stand here and confident enough to carry out this work.</w:t>
      </w: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3451D7" w:rsidRDefault="00715CE0">
      <w:pPr>
        <w:pStyle w:val="Pre-TOC"/>
        <w:outlineLvl w:val="0"/>
      </w:pPr>
      <w:bookmarkStart w:id="2" w:name="_Toc208820372"/>
      <w:r>
        <w:lastRenderedPageBreak/>
        <w:t>Acknowledgement</w:t>
      </w:r>
      <w:bookmarkEnd w:id="2"/>
    </w:p>
    <w:p w:rsidR="003451D7" w:rsidRDefault="00715CE0">
      <w:pPr>
        <w:spacing w:line="360" w:lineRule="auto"/>
        <w:jc w:val="both"/>
        <w:rPr>
          <w:rFonts w:ascii="Times New Roman" w:hAnsi="Times New Roman" w:cs="Times New Roman"/>
          <w:sz w:val="24"/>
          <w:szCs w:val="24"/>
        </w:rPr>
      </w:pPr>
      <w:r>
        <w:rPr>
          <w:rFonts w:ascii="Times New Roman" w:hAnsi="Times New Roman" w:cs="Times New Roman"/>
          <w:sz w:val="24"/>
          <w:szCs w:val="24"/>
        </w:rPr>
        <w:t>All praise and thanks to Allah Almighty, who gave me courage and strength to complete this thesis.</w:t>
      </w:r>
      <w:r w:rsidR="00846D72">
        <w:rPr>
          <w:rFonts w:ascii="Times New Roman" w:hAnsi="Times New Roman" w:cs="Times New Roman"/>
          <w:sz w:val="24"/>
          <w:szCs w:val="24"/>
        </w:rPr>
        <w:t xml:space="preserve"> I</w:t>
      </w:r>
      <w:r>
        <w:rPr>
          <w:rFonts w:ascii="Times New Roman" w:hAnsi="Times New Roman" w:cs="Times New Roman"/>
          <w:sz w:val="24"/>
          <w:szCs w:val="24"/>
        </w:rPr>
        <w:t xml:space="preserve"> want to thank each person in our department who facilitated our work in conducting this research. A special thanks is due in this regard to my Supervisor, Prof. Dr. Muhammad Nawaz Chaudhry (FPAS), and Co-Supervisor, Dr. Naqi Hussain (Scientific Officer at PCSIR), as this research could not have been completed without their unmatched support and assistance. I appreciate the encouragement, support, and inspiration I received from all of my teachers, coworkers, and fellow students. I want to express my gratitude to the Lahore School of Economics for providing me with the opportunity to earn an MPhil degree in Scholarship from this esteemed institution. I also acknowledge the CREB Committee, as their comments enabled me to refine my research. I thank each respondent who took part in this study. Lastly, I would like to express my gratitude to my loved ones for their unwavering prayers and support.</w:t>
      </w:r>
    </w:p>
    <w:p w:rsidR="003451D7" w:rsidRDefault="00715CE0">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3451D7" w:rsidRDefault="00715CE0">
      <w:pPr>
        <w:pStyle w:val="Pre-TOC"/>
        <w:outlineLvl w:val="0"/>
      </w:pPr>
      <w:bookmarkStart w:id="3" w:name="_Toc208820373"/>
      <w:r>
        <w:lastRenderedPageBreak/>
        <w:t>Table of Contents</w:t>
      </w:r>
      <w:bookmarkEnd w:id="3"/>
    </w:p>
    <w:sdt>
      <w:sdtPr>
        <w:rPr>
          <w:rFonts w:ascii="Times New Roman" w:eastAsiaTheme="minorHAnsi" w:hAnsi="Times New Roman" w:cs="Times New Roman"/>
          <w:color w:val="auto"/>
          <w:sz w:val="24"/>
          <w:szCs w:val="24"/>
        </w:rPr>
        <w:id w:val="1547332480"/>
        <w:docPartObj>
          <w:docPartGallery w:val="Table of Contents"/>
          <w:docPartUnique/>
        </w:docPartObj>
      </w:sdtPr>
      <w:sdtEndPr>
        <w:rPr>
          <w:rFonts w:eastAsia="SimSun"/>
        </w:rPr>
      </w:sdtEndPr>
      <w:sdtContent>
        <w:p w:rsidR="003451D7" w:rsidRPr="00820AB1" w:rsidRDefault="003451D7">
          <w:pPr>
            <w:pStyle w:val="TOCHeading1"/>
            <w:spacing w:before="0" w:line="240" w:lineRule="auto"/>
            <w:rPr>
              <w:rFonts w:ascii="Times New Roman" w:hAnsi="Times New Roman" w:cs="Times New Roman"/>
              <w:color w:val="auto"/>
              <w:sz w:val="24"/>
              <w:szCs w:val="24"/>
            </w:rPr>
          </w:pPr>
        </w:p>
        <w:p w:rsidR="003451D7" w:rsidRPr="00820AB1" w:rsidRDefault="00715CE0">
          <w:pPr>
            <w:pStyle w:val="TOC1"/>
            <w:tabs>
              <w:tab w:val="right" w:leader="dot" w:pos="9350"/>
            </w:tabs>
            <w:rPr>
              <w:rFonts w:ascii="Times New Roman" w:eastAsiaTheme="minorEastAsia" w:hAnsi="Times New Roman" w:cs="Times New Roman"/>
              <w:sz w:val="24"/>
              <w:szCs w:val="24"/>
            </w:rPr>
          </w:pPr>
          <w:r w:rsidRPr="00820AB1">
            <w:rPr>
              <w:rFonts w:ascii="Times New Roman" w:hAnsi="Times New Roman" w:cs="Times New Roman"/>
              <w:sz w:val="24"/>
              <w:szCs w:val="24"/>
            </w:rPr>
            <w:fldChar w:fldCharType="begin"/>
          </w:r>
          <w:r w:rsidRPr="00820AB1">
            <w:rPr>
              <w:rFonts w:ascii="Times New Roman" w:hAnsi="Times New Roman" w:cs="Times New Roman"/>
              <w:sz w:val="24"/>
              <w:szCs w:val="24"/>
            </w:rPr>
            <w:instrText xml:space="preserve"> TOC \o "1-3" \h \z \u </w:instrText>
          </w:r>
          <w:r w:rsidRPr="00820AB1">
            <w:rPr>
              <w:rFonts w:ascii="Times New Roman" w:hAnsi="Times New Roman" w:cs="Times New Roman"/>
              <w:sz w:val="24"/>
              <w:szCs w:val="24"/>
            </w:rPr>
            <w:fldChar w:fldCharType="separate"/>
          </w:r>
          <w:hyperlink w:anchor="_Toc208820370" w:history="1">
            <w:r w:rsidRPr="00820AB1">
              <w:rPr>
                <w:rStyle w:val="Hyperlink"/>
                <w:rFonts w:ascii="Times New Roman" w:hAnsi="Times New Roman" w:cs="Times New Roman"/>
                <w:sz w:val="24"/>
                <w:szCs w:val="24"/>
              </w:rPr>
              <w:t>Abstract</w:t>
            </w:r>
            <w:r w:rsidRPr="00820AB1">
              <w:rPr>
                <w:rFonts w:ascii="Times New Roman" w:hAnsi="Times New Roman" w:cs="Times New Roman"/>
                <w:sz w:val="24"/>
                <w:szCs w:val="24"/>
              </w:rPr>
              <w:tab/>
            </w:r>
            <w:r w:rsidRPr="00820AB1">
              <w:rPr>
                <w:rFonts w:ascii="Times New Roman" w:hAnsi="Times New Roman" w:cs="Times New Roman"/>
                <w:sz w:val="24"/>
                <w:szCs w:val="24"/>
              </w:rPr>
              <w:fldChar w:fldCharType="begin"/>
            </w:r>
            <w:r w:rsidRPr="00820AB1">
              <w:rPr>
                <w:rFonts w:ascii="Times New Roman" w:hAnsi="Times New Roman" w:cs="Times New Roman"/>
                <w:sz w:val="24"/>
                <w:szCs w:val="24"/>
              </w:rPr>
              <w:instrText xml:space="preserve"> PAGEREF _Toc208820370 \h </w:instrText>
            </w:r>
            <w:r w:rsidRPr="00820AB1">
              <w:rPr>
                <w:rFonts w:ascii="Times New Roman" w:hAnsi="Times New Roman" w:cs="Times New Roman"/>
                <w:sz w:val="24"/>
                <w:szCs w:val="24"/>
              </w:rPr>
            </w:r>
            <w:r w:rsidRPr="00820AB1">
              <w:rPr>
                <w:rFonts w:ascii="Times New Roman" w:hAnsi="Times New Roman" w:cs="Times New Roman"/>
                <w:sz w:val="24"/>
                <w:szCs w:val="24"/>
              </w:rPr>
              <w:fldChar w:fldCharType="separate"/>
            </w:r>
            <w:r w:rsidR="00DE5BAE">
              <w:rPr>
                <w:rFonts w:ascii="Times New Roman" w:hAnsi="Times New Roman" w:cs="Times New Roman"/>
                <w:noProof/>
                <w:sz w:val="24"/>
                <w:szCs w:val="24"/>
              </w:rPr>
              <w:t>i</w:t>
            </w:r>
            <w:r w:rsidRPr="00820AB1">
              <w:rPr>
                <w:rFonts w:ascii="Times New Roman" w:hAnsi="Times New Roman" w:cs="Times New Roman"/>
                <w:sz w:val="24"/>
                <w:szCs w:val="24"/>
              </w:rPr>
              <w:fldChar w:fldCharType="end"/>
            </w:r>
          </w:hyperlink>
        </w:p>
        <w:p w:rsidR="003451D7" w:rsidRPr="00820AB1" w:rsidRDefault="00DE5BAE">
          <w:pPr>
            <w:pStyle w:val="TOC1"/>
            <w:tabs>
              <w:tab w:val="right" w:leader="dot" w:pos="9350"/>
            </w:tabs>
            <w:rPr>
              <w:rFonts w:ascii="Times New Roman" w:eastAsiaTheme="minorEastAsia" w:hAnsi="Times New Roman" w:cs="Times New Roman"/>
              <w:sz w:val="24"/>
              <w:szCs w:val="24"/>
            </w:rPr>
          </w:pPr>
          <w:hyperlink w:anchor="_Toc208820371" w:history="1">
            <w:r w:rsidR="00715CE0" w:rsidRPr="00820AB1">
              <w:rPr>
                <w:rStyle w:val="Hyperlink"/>
                <w:rFonts w:ascii="Times New Roman" w:hAnsi="Times New Roman" w:cs="Times New Roman"/>
                <w:sz w:val="24"/>
                <w:szCs w:val="24"/>
              </w:rPr>
              <w:t>Dedication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_Toc208820371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ii</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right" w:leader="dot" w:pos="9350"/>
            </w:tabs>
            <w:rPr>
              <w:rFonts w:ascii="Times New Roman" w:eastAsiaTheme="minorEastAsia" w:hAnsi="Times New Roman" w:cs="Times New Roman"/>
              <w:sz w:val="24"/>
              <w:szCs w:val="24"/>
            </w:rPr>
          </w:pPr>
          <w:hyperlink w:anchor="_Toc208820372" w:history="1">
            <w:r w:rsidR="00715CE0" w:rsidRPr="00820AB1">
              <w:rPr>
                <w:rStyle w:val="Hyperlink"/>
                <w:rFonts w:ascii="Times New Roman" w:hAnsi="Times New Roman" w:cs="Times New Roman"/>
                <w:sz w:val="24"/>
                <w:szCs w:val="24"/>
              </w:rPr>
              <w:t>Acknowledgement</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_Toc208820372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iii</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right" w:leader="dot" w:pos="9350"/>
            </w:tabs>
            <w:rPr>
              <w:rFonts w:ascii="Times New Roman" w:eastAsiaTheme="minorEastAsia" w:hAnsi="Times New Roman" w:cs="Times New Roman"/>
              <w:sz w:val="24"/>
              <w:szCs w:val="24"/>
            </w:rPr>
          </w:pPr>
          <w:hyperlink w:anchor="_Toc208820373" w:history="1">
            <w:r w:rsidR="00715CE0" w:rsidRPr="00820AB1">
              <w:rPr>
                <w:rStyle w:val="Hyperlink"/>
                <w:rFonts w:ascii="Times New Roman" w:hAnsi="Times New Roman" w:cs="Times New Roman"/>
                <w:sz w:val="24"/>
                <w:szCs w:val="24"/>
              </w:rPr>
              <w:t>Table of Contents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_Toc208820373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iv</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right" w:leader="dot" w:pos="9350"/>
            </w:tabs>
            <w:rPr>
              <w:rFonts w:ascii="Times New Roman" w:eastAsiaTheme="minorEastAsia" w:hAnsi="Times New Roman" w:cs="Times New Roman"/>
              <w:sz w:val="24"/>
              <w:szCs w:val="24"/>
            </w:rPr>
          </w:pPr>
          <w:hyperlink w:anchor="_Toc208820374" w:history="1">
            <w:r w:rsidR="00715CE0" w:rsidRPr="00820AB1">
              <w:rPr>
                <w:rStyle w:val="Hyperlink"/>
                <w:rFonts w:ascii="Times New Roman" w:hAnsi="Times New Roman" w:cs="Times New Roman"/>
                <w:sz w:val="24"/>
                <w:szCs w:val="24"/>
              </w:rPr>
              <w:t>List of Tables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_Toc208820374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vii</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right" w:leader="dot" w:pos="9350"/>
            </w:tabs>
            <w:rPr>
              <w:rFonts w:ascii="Times New Roman" w:eastAsiaTheme="minorEastAsia" w:hAnsi="Times New Roman" w:cs="Times New Roman"/>
              <w:sz w:val="24"/>
              <w:szCs w:val="24"/>
            </w:rPr>
          </w:pPr>
          <w:hyperlink w:anchor="_Toc208820375" w:history="1">
            <w:r w:rsidR="00715CE0" w:rsidRPr="00820AB1">
              <w:rPr>
                <w:rStyle w:val="Hyperlink"/>
                <w:rFonts w:ascii="Times New Roman" w:hAnsi="Times New Roman" w:cs="Times New Roman"/>
                <w:sz w:val="24"/>
                <w:szCs w:val="24"/>
              </w:rPr>
              <w:t>List of Figures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_Toc208820375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viii</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right" w:leader="dot" w:pos="9350"/>
            </w:tabs>
            <w:rPr>
              <w:rFonts w:ascii="Times New Roman" w:eastAsiaTheme="minorEastAsia" w:hAnsi="Times New Roman" w:cs="Times New Roman"/>
              <w:sz w:val="24"/>
              <w:szCs w:val="24"/>
            </w:rPr>
          </w:pPr>
          <w:hyperlink w:anchor="_Toc208820376" w:history="1">
            <w:r w:rsidR="00715CE0" w:rsidRPr="00820AB1">
              <w:rPr>
                <w:rStyle w:val="Hyperlink"/>
                <w:rFonts w:ascii="Times New Roman" w:hAnsi="Times New Roman" w:cs="Times New Roman"/>
                <w:sz w:val="24"/>
                <w:szCs w:val="24"/>
              </w:rPr>
              <w:t>Abbreviations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_Toc208820376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x</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left" w:pos="440"/>
              <w:tab w:val="right" w:leader="dot" w:pos="9350"/>
            </w:tabs>
            <w:rPr>
              <w:rFonts w:ascii="Times New Roman" w:eastAsiaTheme="minorEastAsia" w:hAnsi="Times New Roman" w:cs="Times New Roman"/>
              <w:sz w:val="24"/>
              <w:szCs w:val="24"/>
            </w:rPr>
          </w:pPr>
          <w:hyperlink w:anchor="_Toc208820377" w:history="1">
            <w:r w:rsidR="00715CE0" w:rsidRPr="00820AB1">
              <w:rPr>
                <w:rStyle w:val="Hyperlink"/>
                <w:rFonts w:ascii="Times New Roman" w:hAnsi="Times New Roman" w:cs="Times New Roman"/>
                <w:sz w:val="24"/>
                <w:szCs w:val="24"/>
              </w:rPr>
              <w:t>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Introduction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_Toc208820377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78" w:history="1">
            <w:r w:rsidR="00715CE0" w:rsidRPr="00820AB1">
              <w:rPr>
                <w:rStyle w:val="Hyperlink"/>
                <w:rFonts w:ascii="Times New Roman" w:hAnsi="Times New Roman" w:cs="Times New Roman"/>
                <w:sz w:val="24"/>
                <w:szCs w:val="24"/>
              </w:rPr>
              <w:t>1.1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Heavy metals in cosmetics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_Toc208820378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79" w:history="1">
            <w:r w:rsidR="00715CE0" w:rsidRPr="00820AB1">
              <w:rPr>
                <w:rStyle w:val="Hyperlink"/>
                <w:rFonts w:ascii="Times New Roman" w:hAnsi="Times New Roman" w:cs="Times New Roman"/>
                <w:sz w:val="24"/>
                <w:szCs w:val="24"/>
              </w:rPr>
              <w:t>1.2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Sources of Heavy Metals in Cosmetics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_Toc208820379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80" w:history="1">
            <w:r w:rsidR="00715CE0" w:rsidRPr="00820AB1">
              <w:rPr>
                <w:rStyle w:val="Hyperlink"/>
                <w:rFonts w:ascii="Times New Roman" w:hAnsi="Times New Roman" w:cs="Times New Roman"/>
                <w:sz w:val="24"/>
                <w:szCs w:val="24"/>
              </w:rPr>
              <w:t>1.3</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Effects of Heavy Metals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_Toc208820380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81" w:history="1">
            <w:r w:rsidR="00715CE0" w:rsidRPr="00820AB1">
              <w:rPr>
                <w:rStyle w:val="Hyperlink"/>
                <w:rFonts w:ascii="Times New Roman" w:hAnsi="Times New Roman" w:cs="Times New Roman"/>
                <w:sz w:val="24"/>
                <w:szCs w:val="24"/>
              </w:rPr>
              <w:t>1.4</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Toxicity of Lead</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_Toc208820381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82" w:history="1">
            <w:r w:rsidR="00715CE0" w:rsidRPr="00820AB1">
              <w:rPr>
                <w:rStyle w:val="Hyperlink"/>
                <w:rFonts w:ascii="Times New Roman" w:hAnsi="Times New Roman" w:cs="Times New Roman"/>
                <w:sz w:val="24"/>
                <w:szCs w:val="24"/>
              </w:rPr>
              <w:t>1.5</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Toxicity of Cadmium</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_Toc208820382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83" w:history="1">
            <w:r w:rsidR="00715CE0" w:rsidRPr="00820AB1">
              <w:rPr>
                <w:rStyle w:val="Hyperlink"/>
                <w:rFonts w:ascii="Times New Roman" w:hAnsi="Times New Roman" w:cs="Times New Roman"/>
                <w:sz w:val="24"/>
                <w:szCs w:val="24"/>
              </w:rPr>
              <w:t>1.6</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Toxicity of Chromium</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_Toc208820383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84" w:history="1">
            <w:r w:rsidR="00715CE0" w:rsidRPr="00820AB1">
              <w:rPr>
                <w:rStyle w:val="Hyperlink"/>
                <w:rFonts w:ascii="Times New Roman" w:hAnsi="Times New Roman" w:cs="Times New Roman"/>
                <w:sz w:val="24"/>
                <w:szCs w:val="24"/>
              </w:rPr>
              <w:t>1.7</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Toxicity of Copper</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_Toc208820384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85" w:history="1">
            <w:r w:rsidR="00715CE0" w:rsidRPr="00820AB1">
              <w:rPr>
                <w:rStyle w:val="Hyperlink"/>
                <w:rFonts w:ascii="Times New Roman" w:hAnsi="Times New Roman" w:cs="Times New Roman"/>
                <w:sz w:val="24"/>
                <w:szCs w:val="24"/>
              </w:rPr>
              <w:t>1.8</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Toxicity of Nickel</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_Toc208820385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86" w:history="1">
            <w:r w:rsidR="00715CE0" w:rsidRPr="00820AB1">
              <w:rPr>
                <w:rStyle w:val="Hyperlink"/>
                <w:rFonts w:ascii="Times New Roman" w:hAnsi="Times New Roman" w:cs="Times New Roman"/>
                <w:sz w:val="24"/>
                <w:szCs w:val="24"/>
              </w:rPr>
              <w:t>1.9</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Steroids in Cosmetics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_Toc208820386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387" w:history="1">
            <w:r w:rsidR="00715CE0" w:rsidRPr="00820AB1">
              <w:rPr>
                <w:rStyle w:val="Hyperlink"/>
                <w:rFonts w:ascii="Times New Roman" w:hAnsi="Times New Roman" w:cs="Times New Roman"/>
                <w:sz w:val="24"/>
                <w:szCs w:val="24"/>
              </w:rPr>
              <w:t>1.9.1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Effects of Betamethasone</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_Toc208820387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4</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388" w:history="1">
            <w:r w:rsidR="00715CE0" w:rsidRPr="00820AB1">
              <w:rPr>
                <w:rStyle w:val="Hyperlink"/>
                <w:rFonts w:ascii="Times New Roman" w:hAnsi="Times New Roman" w:cs="Times New Roman"/>
                <w:sz w:val="24"/>
                <w:szCs w:val="24"/>
              </w:rPr>
              <w:t>1.9.2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Effects of Hydrocortisone</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_Toc208820388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5</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89" w:history="1">
            <w:r w:rsidR="00715CE0" w:rsidRPr="00820AB1">
              <w:rPr>
                <w:rStyle w:val="Hyperlink"/>
                <w:rFonts w:ascii="Times New Roman" w:hAnsi="Times New Roman" w:cs="Times New Roman"/>
                <w:sz w:val="24"/>
                <w:szCs w:val="24"/>
              </w:rPr>
              <w:t>1.10</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Health Risk Assessment</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_Toc208820389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5</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90" w:history="1">
            <w:r w:rsidR="00715CE0" w:rsidRPr="00820AB1">
              <w:rPr>
                <w:rStyle w:val="Hyperlink"/>
                <w:rFonts w:ascii="Times New Roman" w:hAnsi="Times New Roman" w:cs="Times New Roman"/>
                <w:sz w:val="24"/>
                <w:szCs w:val="24"/>
              </w:rPr>
              <w:t>1.11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Research Questions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_Toc208820390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6</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left" w:pos="440"/>
              <w:tab w:val="right" w:leader="dot" w:pos="9350"/>
            </w:tabs>
            <w:rPr>
              <w:rFonts w:ascii="Times New Roman" w:eastAsiaTheme="minorEastAsia" w:hAnsi="Times New Roman" w:cs="Times New Roman"/>
              <w:sz w:val="24"/>
              <w:szCs w:val="24"/>
            </w:rPr>
          </w:pPr>
          <w:hyperlink w:anchor="_Toc208820391" w:history="1">
            <w:r w:rsidR="00715CE0" w:rsidRPr="00820AB1">
              <w:rPr>
                <w:rStyle w:val="Hyperlink"/>
                <w:rFonts w:ascii="Times New Roman" w:hAnsi="Times New Roman" w:cs="Times New Roman"/>
                <w:sz w:val="24"/>
                <w:szCs w:val="24"/>
              </w:rPr>
              <w:t>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Literature Review</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_Toc208820391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7</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left" w:pos="440"/>
              <w:tab w:val="right" w:leader="dot" w:pos="9350"/>
            </w:tabs>
            <w:rPr>
              <w:rFonts w:ascii="Times New Roman" w:eastAsiaTheme="minorEastAsia" w:hAnsi="Times New Roman" w:cs="Times New Roman"/>
              <w:sz w:val="24"/>
              <w:szCs w:val="24"/>
            </w:rPr>
          </w:pPr>
          <w:hyperlink w:anchor="_Toc208820392" w:history="1">
            <w:r w:rsidR="00715CE0" w:rsidRPr="00820AB1">
              <w:rPr>
                <w:rStyle w:val="Hyperlink"/>
                <w:rFonts w:ascii="Times New Roman" w:hAnsi="Times New Roman" w:cs="Times New Roman"/>
                <w:sz w:val="24"/>
                <w:szCs w:val="24"/>
              </w:rPr>
              <w:t>3</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Methodology</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_Toc208820392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15</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93" w:history="1">
            <w:r w:rsidR="00715CE0" w:rsidRPr="00820AB1">
              <w:rPr>
                <w:rStyle w:val="Hyperlink"/>
                <w:rFonts w:ascii="Times New Roman" w:hAnsi="Times New Roman" w:cs="Times New Roman"/>
                <w:sz w:val="24"/>
                <w:szCs w:val="24"/>
              </w:rPr>
              <w:t>3.1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Desk Study:</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_Toc208820393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15</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394" w:history="1">
            <w:r w:rsidR="00715CE0" w:rsidRPr="00820AB1">
              <w:rPr>
                <w:rStyle w:val="Hyperlink"/>
                <w:rFonts w:ascii="Times New Roman" w:hAnsi="Times New Roman" w:cs="Times New Roman"/>
                <w:sz w:val="24"/>
                <w:szCs w:val="24"/>
              </w:rPr>
              <w:t>3.1.1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Review of Previous Research Work:</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_Toc208820394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15</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395" w:history="1">
            <w:r w:rsidR="00715CE0" w:rsidRPr="00820AB1">
              <w:rPr>
                <w:rStyle w:val="Hyperlink"/>
                <w:rFonts w:ascii="Times New Roman" w:hAnsi="Times New Roman" w:cs="Times New Roman"/>
                <w:sz w:val="24"/>
                <w:szCs w:val="24"/>
              </w:rPr>
              <w:t>3.1.2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Questionnaire Formation and Analysis: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_Toc208820395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16</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96" w:history="1">
            <w:r w:rsidR="00715CE0" w:rsidRPr="00820AB1">
              <w:rPr>
                <w:rStyle w:val="Hyperlink"/>
                <w:rFonts w:ascii="Times New Roman" w:hAnsi="Times New Roman" w:cs="Times New Roman"/>
                <w:sz w:val="24"/>
                <w:szCs w:val="24"/>
              </w:rPr>
              <w:t>3.2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Sample Collection: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_Toc208820396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16</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397" w:history="1">
            <w:r w:rsidR="00715CE0" w:rsidRPr="00820AB1">
              <w:rPr>
                <w:rStyle w:val="Hyperlink"/>
                <w:rFonts w:ascii="Times New Roman" w:hAnsi="Times New Roman" w:cs="Times New Roman"/>
                <w:sz w:val="24"/>
                <w:szCs w:val="24"/>
              </w:rPr>
              <w:t>3.3</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Determination of Heavy Metal Concentration: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_Toc208820397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18</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398" w:history="1">
            <w:r w:rsidR="00715CE0" w:rsidRPr="00820AB1">
              <w:rPr>
                <w:rStyle w:val="Hyperlink"/>
                <w:rFonts w:ascii="Times New Roman" w:hAnsi="Times New Roman" w:cs="Times New Roman"/>
                <w:sz w:val="24"/>
                <w:szCs w:val="24"/>
              </w:rPr>
              <w:t>3.3.1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Preparation of Samples: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_Toc208820398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18</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399" w:history="1">
            <w:r w:rsidR="00715CE0" w:rsidRPr="00820AB1">
              <w:rPr>
                <w:rStyle w:val="Hyperlink"/>
                <w:rFonts w:ascii="Times New Roman" w:hAnsi="Times New Roman" w:cs="Times New Roman"/>
                <w:sz w:val="24"/>
                <w:szCs w:val="24"/>
              </w:rPr>
              <w:t>3.3.2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Digestion and Dilution of Samples: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_Toc208820399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18</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00" w:history="1">
            <w:r w:rsidR="00715CE0" w:rsidRPr="00820AB1">
              <w:rPr>
                <w:rStyle w:val="Hyperlink"/>
                <w:rFonts w:ascii="Times New Roman" w:hAnsi="Times New Roman" w:cs="Times New Roman"/>
                <w:sz w:val="24"/>
                <w:szCs w:val="24"/>
              </w:rPr>
              <w:t>3.3.3</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Standards Preparation: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_Toc208820400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20</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01" w:history="1">
            <w:r w:rsidR="00715CE0" w:rsidRPr="00820AB1">
              <w:rPr>
                <w:rStyle w:val="Hyperlink"/>
                <w:rFonts w:ascii="Times New Roman" w:hAnsi="Times New Roman" w:cs="Times New Roman"/>
                <w:sz w:val="24"/>
                <w:szCs w:val="24"/>
              </w:rPr>
              <w:t>3.3.4</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Analysis of Samples: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_Toc208820401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20</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02" w:history="1">
            <w:r w:rsidR="00715CE0" w:rsidRPr="00820AB1">
              <w:rPr>
                <w:rStyle w:val="Hyperlink"/>
                <w:rFonts w:ascii="Times New Roman" w:hAnsi="Times New Roman" w:cs="Times New Roman"/>
                <w:sz w:val="24"/>
                <w:szCs w:val="24"/>
              </w:rPr>
              <w:t>3.4</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Determination of Steroids (Cortisone &amp; Betamethasone):</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_Toc208820402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20</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03" w:history="1">
            <w:r w:rsidR="00715CE0" w:rsidRPr="00820AB1">
              <w:rPr>
                <w:rStyle w:val="Hyperlink"/>
                <w:rFonts w:ascii="Times New Roman" w:hAnsi="Times New Roman" w:cs="Times New Roman"/>
                <w:sz w:val="24"/>
                <w:szCs w:val="24"/>
              </w:rPr>
              <w:t>3.4.1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lang w:val="zh-CN"/>
              </w:rPr>
              <w:t>HPLC Conditions</w:t>
            </w:r>
            <w:r w:rsidR="00715CE0" w:rsidRPr="00820AB1">
              <w:rPr>
                <w:rStyle w:val="Hyperlink"/>
                <w:rFonts w:ascii="Times New Roman" w:hAnsi="Times New Roman" w:cs="Times New Roman"/>
                <w:sz w:val="24"/>
                <w:szCs w:val="24"/>
              </w:rPr>
              <w:t>:</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_Toc208820403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20</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04" w:history="1">
            <w:r w:rsidR="00715CE0" w:rsidRPr="00820AB1">
              <w:rPr>
                <w:rStyle w:val="Hyperlink"/>
                <w:rFonts w:ascii="Times New Roman" w:hAnsi="Times New Roman" w:cs="Times New Roman"/>
                <w:sz w:val="24"/>
                <w:szCs w:val="24"/>
              </w:rPr>
              <w:t>3.4.2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Preparation of Standard and its Stock Solution: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_Toc208820404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21</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05" w:history="1">
            <w:r w:rsidR="00715CE0" w:rsidRPr="00820AB1">
              <w:rPr>
                <w:rStyle w:val="Hyperlink"/>
                <w:rFonts w:ascii="Times New Roman" w:hAnsi="Times New Roman" w:cs="Times New Roman"/>
                <w:sz w:val="24"/>
                <w:szCs w:val="24"/>
              </w:rPr>
              <w:t>3.4.3</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Mobile Phase Preparation: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_Toc208820405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21</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06" w:history="1">
            <w:r w:rsidR="00715CE0" w:rsidRPr="00820AB1">
              <w:rPr>
                <w:rStyle w:val="Hyperlink"/>
                <w:rFonts w:ascii="Times New Roman" w:hAnsi="Times New Roman" w:cs="Times New Roman"/>
                <w:sz w:val="24"/>
                <w:szCs w:val="24"/>
              </w:rPr>
              <w:t>3.4.4</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Preparation of Face Wash Sample:</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_Toc208820406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21</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07" w:history="1">
            <w:r w:rsidR="00715CE0" w:rsidRPr="00820AB1">
              <w:rPr>
                <w:rStyle w:val="Hyperlink"/>
                <w:rFonts w:ascii="Times New Roman" w:hAnsi="Times New Roman" w:cs="Times New Roman"/>
                <w:sz w:val="24"/>
                <w:szCs w:val="24"/>
              </w:rPr>
              <w:t>3.4.5</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High Performance Liquid Chromatography Procedure:</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_Toc208820407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21</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08" w:history="1">
            <w:r w:rsidR="00715CE0" w:rsidRPr="00820AB1">
              <w:rPr>
                <w:rStyle w:val="Hyperlink"/>
                <w:rFonts w:ascii="Times New Roman" w:hAnsi="Times New Roman" w:cs="Times New Roman"/>
                <w:sz w:val="24"/>
                <w:szCs w:val="24"/>
              </w:rPr>
              <w:t>3.5</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Health Risk Assessment:</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_Toc208820408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23</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09" w:history="1">
            <w:r w:rsidR="00715CE0" w:rsidRPr="00820AB1">
              <w:rPr>
                <w:rStyle w:val="Hyperlink"/>
                <w:rFonts w:ascii="Times New Roman" w:hAnsi="Times New Roman" w:cs="Times New Roman"/>
                <w:sz w:val="24"/>
                <w:szCs w:val="24"/>
              </w:rPr>
              <w:t>3.6</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Analysis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_Toc208820409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25</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left" w:pos="440"/>
              <w:tab w:val="right" w:leader="dot" w:pos="9350"/>
            </w:tabs>
            <w:rPr>
              <w:rFonts w:ascii="Times New Roman" w:eastAsiaTheme="minorEastAsia" w:hAnsi="Times New Roman" w:cs="Times New Roman"/>
              <w:sz w:val="24"/>
              <w:szCs w:val="24"/>
            </w:rPr>
          </w:pPr>
          <w:hyperlink w:anchor="_Toc208820410" w:history="1">
            <w:r w:rsidR="00715CE0" w:rsidRPr="00820AB1">
              <w:rPr>
                <w:rStyle w:val="Hyperlink"/>
                <w:rFonts w:ascii="Times New Roman" w:hAnsi="Times New Roman" w:cs="Times New Roman"/>
                <w:sz w:val="24"/>
                <w:szCs w:val="24"/>
              </w:rPr>
              <w:t>4</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Results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_Toc208820410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26</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11" w:history="1">
            <w:r w:rsidR="00715CE0" w:rsidRPr="00820AB1">
              <w:rPr>
                <w:rStyle w:val="Hyperlink"/>
                <w:rFonts w:ascii="Times New Roman" w:hAnsi="Times New Roman" w:cs="Times New Roman"/>
                <w:sz w:val="24"/>
                <w:szCs w:val="24"/>
              </w:rPr>
              <w:t>4.1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Consumer Awareness and Perceptions (Survey Results):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_Toc208820411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26</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12" w:history="1">
            <w:r w:rsidR="00715CE0" w:rsidRPr="00820AB1">
              <w:rPr>
                <w:rStyle w:val="Hyperlink"/>
                <w:rFonts w:ascii="Times New Roman" w:hAnsi="Times New Roman" w:cs="Times New Roman"/>
                <w:sz w:val="24"/>
                <w:szCs w:val="24"/>
              </w:rPr>
              <w:t>4.1.1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Demographic Information: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_Toc208820412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26</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13" w:history="1">
            <w:r w:rsidR="00715CE0" w:rsidRPr="00820AB1">
              <w:rPr>
                <w:rStyle w:val="Hyperlink"/>
                <w:rFonts w:ascii="Times New Roman" w:hAnsi="Times New Roman" w:cs="Times New Roman"/>
                <w:sz w:val="24"/>
                <w:szCs w:val="24"/>
              </w:rPr>
              <w:t>4.1.2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Usage Patterns: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_Toc208820413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28</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14" w:history="1">
            <w:r w:rsidR="00715CE0" w:rsidRPr="00820AB1">
              <w:rPr>
                <w:rStyle w:val="Hyperlink"/>
                <w:rFonts w:ascii="Times New Roman" w:hAnsi="Times New Roman" w:cs="Times New Roman"/>
                <w:sz w:val="24"/>
                <w:szCs w:val="24"/>
              </w:rPr>
              <w:t>4.1.3</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Awareness of Harmful Substances and Ingredients: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_Toc208820414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30</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15" w:history="1">
            <w:r w:rsidR="00715CE0" w:rsidRPr="00820AB1">
              <w:rPr>
                <w:rStyle w:val="Hyperlink"/>
                <w:rFonts w:ascii="Times New Roman" w:hAnsi="Times New Roman" w:cs="Times New Roman"/>
                <w:sz w:val="24"/>
                <w:szCs w:val="24"/>
              </w:rPr>
              <w:t>4.1.4</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Perceived Effects and Health Risks: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_Toc208820415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32</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16" w:history="1">
            <w:r w:rsidR="00715CE0" w:rsidRPr="00820AB1">
              <w:rPr>
                <w:rStyle w:val="Hyperlink"/>
                <w:rFonts w:ascii="Times New Roman" w:hAnsi="Times New Roman" w:cs="Times New Roman"/>
                <w:sz w:val="24"/>
                <w:szCs w:val="24"/>
              </w:rPr>
              <w:t>4.1.5</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Main Reasons for Using Face Wash:</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_Toc208820416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34</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17" w:history="1">
            <w:r w:rsidR="00715CE0" w:rsidRPr="00820AB1">
              <w:rPr>
                <w:rStyle w:val="Hyperlink"/>
                <w:rFonts w:ascii="Times New Roman" w:hAnsi="Times New Roman" w:cs="Times New Roman"/>
                <w:sz w:val="24"/>
                <w:szCs w:val="24"/>
              </w:rPr>
              <w:t>4.2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Physicochemical Parameters of Face Wash Samples: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_Toc208820417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35</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18" w:history="1">
            <w:r w:rsidR="00715CE0" w:rsidRPr="00820AB1">
              <w:rPr>
                <w:rStyle w:val="Hyperlink"/>
                <w:rFonts w:ascii="Times New Roman" w:hAnsi="Times New Roman" w:cs="Times New Roman"/>
                <w:sz w:val="24"/>
                <w:szCs w:val="24"/>
              </w:rPr>
              <w:t>4.2.1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pH Levels: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_Toc208820418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36</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19" w:history="1">
            <w:r w:rsidR="00715CE0" w:rsidRPr="00820AB1">
              <w:rPr>
                <w:rStyle w:val="Hyperlink"/>
                <w:rFonts w:ascii="Times New Roman" w:hAnsi="Times New Roman" w:cs="Times New Roman"/>
                <w:sz w:val="24"/>
                <w:szCs w:val="24"/>
              </w:rPr>
              <w:t>4.2.2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Temperature Levels: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_Toc208820419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36</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20" w:history="1">
            <w:r w:rsidR="00715CE0" w:rsidRPr="00820AB1">
              <w:rPr>
                <w:rStyle w:val="Hyperlink"/>
                <w:rFonts w:ascii="Times New Roman" w:hAnsi="Times New Roman" w:cs="Times New Roman"/>
                <w:sz w:val="24"/>
                <w:szCs w:val="24"/>
              </w:rPr>
              <w:t>4.3</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Concentrations of Heavy Metals in Face Wash Samples: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_Toc208820420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37</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21" w:history="1">
            <w:r w:rsidR="00715CE0" w:rsidRPr="00820AB1">
              <w:rPr>
                <w:rStyle w:val="Hyperlink"/>
                <w:rFonts w:ascii="Times New Roman" w:hAnsi="Times New Roman" w:cs="Times New Roman"/>
                <w:sz w:val="24"/>
                <w:szCs w:val="24"/>
              </w:rPr>
              <w:t>4.3.1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Cadmium (Cd) Concentration: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_Toc208820421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37</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22" w:history="1">
            <w:r w:rsidR="00715CE0" w:rsidRPr="00820AB1">
              <w:rPr>
                <w:rStyle w:val="Hyperlink"/>
                <w:rFonts w:ascii="Times New Roman" w:hAnsi="Times New Roman" w:cs="Times New Roman"/>
                <w:sz w:val="24"/>
                <w:szCs w:val="24"/>
              </w:rPr>
              <w:t>4.3.2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Chromium (Cr) Concentration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_Toc208820422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38</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23" w:history="1">
            <w:r w:rsidR="00715CE0" w:rsidRPr="00820AB1">
              <w:rPr>
                <w:rStyle w:val="Hyperlink"/>
                <w:rFonts w:ascii="Times New Roman" w:hAnsi="Times New Roman" w:cs="Times New Roman"/>
                <w:sz w:val="24"/>
                <w:szCs w:val="24"/>
              </w:rPr>
              <w:t>4.3.3</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Nickel (Ni) Concentration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_Toc208820423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39</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24" w:history="1">
            <w:r w:rsidR="00715CE0" w:rsidRPr="00820AB1">
              <w:rPr>
                <w:rStyle w:val="Hyperlink"/>
                <w:rFonts w:ascii="Times New Roman" w:hAnsi="Times New Roman" w:cs="Times New Roman"/>
                <w:sz w:val="24"/>
                <w:szCs w:val="24"/>
              </w:rPr>
              <w:t>4.3.4</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Lead Concentration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_Toc208820424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40</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25" w:history="1">
            <w:r w:rsidR="00715CE0" w:rsidRPr="00820AB1">
              <w:rPr>
                <w:rStyle w:val="Hyperlink"/>
                <w:rFonts w:ascii="Times New Roman" w:hAnsi="Times New Roman" w:cs="Times New Roman"/>
                <w:sz w:val="24"/>
                <w:szCs w:val="24"/>
              </w:rPr>
              <w:t>4.3.5</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Copper (Cu) Concentration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_Toc208820425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41</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26" w:history="1">
            <w:r w:rsidR="00715CE0" w:rsidRPr="00820AB1">
              <w:rPr>
                <w:rStyle w:val="Hyperlink"/>
                <w:rFonts w:ascii="Times New Roman" w:hAnsi="Times New Roman" w:cs="Times New Roman"/>
                <w:sz w:val="24"/>
                <w:szCs w:val="24"/>
              </w:rPr>
              <w:t>4.3.6</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Comparison of Different Heavy Metal Concentrations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_Toc208820426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42</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27" w:history="1">
            <w:r w:rsidR="00715CE0" w:rsidRPr="00820AB1">
              <w:rPr>
                <w:rStyle w:val="Hyperlink"/>
                <w:rFonts w:ascii="Times New Roman" w:hAnsi="Times New Roman" w:cs="Times New Roman"/>
                <w:sz w:val="24"/>
                <w:szCs w:val="24"/>
              </w:rPr>
              <w:t>4.4</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Human Health Risk Assessment:</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_Toc208820427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44</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28" w:history="1">
            <w:r w:rsidR="00715CE0" w:rsidRPr="00820AB1">
              <w:rPr>
                <w:rStyle w:val="Hyperlink"/>
                <w:rFonts w:ascii="Times New Roman" w:hAnsi="Times New Roman" w:cs="Times New Roman"/>
                <w:sz w:val="24"/>
                <w:szCs w:val="24"/>
              </w:rPr>
              <w:t>4.4.1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Chronic Daily Intake (CDI):</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_Toc208820428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44</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29" w:history="1">
            <w:r w:rsidR="00715CE0" w:rsidRPr="00820AB1">
              <w:rPr>
                <w:rStyle w:val="Hyperlink"/>
                <w:rFonts w:ascii="Times New Roman" w:hAnsi="Times New Roman" w:cs="Times New Roman"/>
                <w:sz w:val="24"/>
                <w:szCs w:val="24"/>
              </w:rPr>
              <w:t>4.4.2</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Hazard Quotient (HQ)</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_Toc208820429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44</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30" w:history="1">
            <w:r w:rsidR="00715CE0" w:rsidRPr="00820AB1">
              <w:rPr>
                <w:rStyle w:val="Hyperlink"/>
                <w:rFonts w:ascii="Times New Roman" w:hAnsi="Times New Roman" w:cs="Times New Roman"/>
                <w:sz w:val="24"/>
                <w:szCs w:val="24"/>
              </w:rPr>
              <w:t>4.5</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Steroids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_Toc208820430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47</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31" w:history="1">
            <w:r w:rsidR="00715CE0" w:rsidRPr="00820AB1">
              <w:rPr>
                <w:rStyle w:val="Hyperlink"/>
                <w:rFonts w:ascii="Times New Roman" w:hAnsi="Times New Roman" w:cs="Times New Roman"/>
                <w:sz w:val="24"/>
                <w:szCs w:val="24"/>
              </w:rPr>
              <w:t>4.6</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Regulatory measures of cosmetics in Pakistan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_Toc208820431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52</w:t>
            </w:r>
            <w:r w:rsidR="00715CE0" w:rsidRPr="00820AB1">
              <w:rPr>
                <w:rFonts w:ascii="Times New Roman" w:hAnsi="Times New Roman" w:cs="Times New Roman"/>
                <w:sz w:val="24"/>
                <w:szCs w:val="24"/>
              </w:rPr>
              <w:fldChar w:fldCharType="end"/>
            </w:r>
          </w:hyperlink>
        </w:p>
        <w:p w:rsidR="003451D7" w:rsidRPr="00820AB1" w:rsidRDefault="00DE5BAE">
          <w:pPr>
            <w:pStyle w:val="TOC3"/>
            <w:tabs>
              <w:tab w:val="left" w:pos="1320"/>
              <w:tab w:val="right" w:leader="dot" w:pos="9350"/>
            </w:tabs>
            <w:rPr>
              <w:rFonts w:ascii="Times New Roman" w:eastAsiaTheme="minorEastAsia" w:hAnsi="Times New Roman" w:cs="Times New Roman"/>
              <w:sz w:val="24"/>
              <w:szCs w:val="24"/>
            </w:rPr>
          </w:pPr>
          <w:hyperlink w:anchor="_Toc208820432" w:history="1">
            <w:r w:rsidR="00715CE0" w:rsidRPr="00820AB1">
              <w:rPr>
                <w:rStyle w:val="Hyperlink"/>
                <w:rFonts w:ascii="Times New Roman" w:hAnsi="Times New Roman" w:cs="Times New Roman"/>
                <w:sz w:val="24"/>
                <w:szCs w:val="24"/>
              </w:rPr>
              <w:t>4.6.1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Regulatory bodies in Pakistan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_Toc208820432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52</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left" w:pos="440"/>
              <w:tab w:val="right" w:leader="dot" w:pos="9350"/>
            </w:tabs>
            <w:rPr>
              <w:rFonts w:ascii="Times New Roman" w:eastAsiaTheme="minorEastAsia" w:hAnsi="Times New Roman" w:cs="Times New Roman"/>
              <w:sz w:val="24"/>
              <w:szCs w:val="24"/>
            </w:rPr>
          </w:pPr>
          <w:hyperlink w:anchor="_Toc208820433" w:history="1">
            <w:r w:rsidR="00715CE0" w:rsidRPr="00820AB1">
              <w:rPr>
                <w:rStyle w:val="Hyperlink"/>
                <w:rFonts w:ascii="Times New Roman" w:hAnsi="Times New Roman" w:cs="Times New Roman"/>
                <w:sz w:val="24"/>
                <w:szCs w:val="24"/>
              </w:rPr>
              <w:t>5</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Discussion and Recommendation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_Toc208820433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54</w:t>
            </w:r>
            <w:r w:rsidR="00715CE0" w:rsidRPr="00820AB1">
              <w:rPr>
                <w:rFonts w:ascii="Times New Roman" w:hAnsi="Times New Roman" w:cs="Times New Roman"/>
                <w:sz w:val="24"/>
                <w:szCs w:val="24"/>
              </w:rPr>
              <w:fldChar w:fldCharType="end"/>
            </w:r>
          </w:hyperlink>
        </w:p>
        <w:p w:rsidR="003451D7" w:rsidRPr="00820AB1" w:rsidRDefault="00DE5BAE">
          <w:pPr>
            <w:pStyle w:val="TOC2"/>
            <w:tabs>
              <w:tab w:val="left" w:pos="880"/>
              <w:tab w:val="right" w:leader="dot" w:pos="9350"/>
            </w:tabs>
            <w:rPr>
              <w:rFonts w:ascii="Times New Roman" w:eastAsiaTheme="minorEastAsia" w:hAnsi="Times New Roman" w:cs="Times New Roman"/>
              <w:sz w:val="24"/>
              <w:szCs w:val="24"/>
            </w:rPr>
          </w:pPr>
          <w:hyperlink w:anchor="_Toc208820434" w:history="1">
            <w:r w:rsidR="00715CE0" w:rsidRPr="00820AB1">
              <w:rPr>
                <w:rStyle w:val="Hyperlink"/>
                <w:rFonts w:ascii="Times New Roman" w:hAnsi="Times New Roman" w:cs="Times New Roman"/>
                <w:sz w:val="24"/>
                <w:szCs w:val="24"/>
              </w:rPr>
              <w:t>5.1</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Discussion and Recommendations</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_Toc208820434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54</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left" w:pos="440"/>
              <w:tab w:val="right" w:leader="dot" w:pos="9350"/>
            </w:tabs>
            <w:rPr>
              <w:rFonts w:ascii="Times New Roman" w:eastAsiaTheme="minorEastAsia" w:hAnsi="Times New Roman" w:cs="Times New Roman"/>
              <w:sz w:val="24"/>
              <w:szCs w:val="24"/>
            </w:rPr>
          </w:pPr>
          <w:hyperlink w:anchor="_Toc208820435" w:history="1">
            <w:r w:rsidR="00715CE0" w:rsidRPr="00820AB1">
              <w:rPr>
                <w:rStyle w:val="Hyperlink"/>
                <w:rFonts w:ascii="Times New Roman" w:hAnsi="Times New Roman" w:cs="Times New Roman"/>
                <w:sz w:val="24"/>
                <w:szCs w:val="24"/>
              </w:rPr>
              <w:t>6</w:t>
            </w:r>
            <w:r w:rsidR="00715CE0" w:rsidRPr="00820AB1">
              <w:rPr>
                <w:rFonts w:ascii="Times New Roman" w:eastAsiaTheme="minorEastAsia" w:hAnsi="Times New Roman" w:cs="Times New Roman"/>
                <w:sz w:val="24"/>
                <w:szCs w:val="24"/>
              </w:rPr>
              <w:tab/>
            </w:r>
            <w:r w:rsidR="00715CE0" w:rsidRPr="00820AB1">
              <w:rPr>
                <w:rStyle w:val="Hyperlink"/>
                <w:rFonts w:ascii="Times New Roman" w:hAnsi="Times New Roman" w:cs="Times New Roman"/>
                <w:sz w:val="24"/>
                <w:szCs w:val="24"/>
              </w:rPr>
              <w:t>Conclusion</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_Toc208820435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57</w:t>
            </w:r>
            <w:r w:rsidR="00715CE0" w:rsidRPr="00820AB1">
              <w:rPr>
                <w:rFonts w:ascii="Times New Roman" w:hAnsi="Times New Roman" w:cs="Times New Roman"/>
                <w:sz w:val="24"/>
                <w:szCs w:val="24"/>
              </w:rPr>
              <w:fldChar w:fldCharType="end"/>
            </w:r>
          </w:hyperlink>
        </w:p>
        <w:p w:rsidR="003451D7" w:rsidRPr="00820AB1" w:rsidRDefault="00DE5BAE">
          <w:pPr>
            <w:pStyle w:val="TOC1"/>
            <w:tabs>
              <w:tab w:val="right" w:leader="dot" w:pos="9350"/>
            </w:tabs>
            <w:rPr>
              <w:rFonts w:ascii="Times New Roman" w:eastAsiaTheme="minorEastAsia" w:hAnsi="Times New Roman" w:cs="Times New Roman"/>
              <w:sz w:val="24"/>
              <w:szCs w:val="24"/>
            </w:rPr>
          </w:pPr>
          <w:hyperlink w:anchor="_Toc208820436" w:history="1">
            <w:r w:rsidR="00715CE0" w:rsidRPr="00820AB1">
              <w:rPr>
                <w:rStyle w:val="Hyperlink"/>
                <w:rFonts w:ascii="Times New Roman" w:hAnsi="Times New Roman" w:cs="Times New Roman"/>
                <w:sz w:val="24"/>
                <w:szCs w:val="24"/>
              </w:rPr>
              <w:t>APPENDIX</w:t>
            </w:r>
            <w:r w:rsidR="00715CE0" w:rsidRPr="00820AB1">
              <w:rPr>
                <w:rFonts w:ascii="Times New Roman" w:hAnsi="Times New Roman" w:cs="Times New Roman"/>
                <w:sz w:val="24"/>
                <w:szCs w:val="24"/>
              </w:rPr>
              <w:tab/>
            </w:r>
            <w:r w:rsidR="00715CE0" w:rsidRPr="00820AB1">
              <w:rPr>
                <w:rFonts w:ascii="Times New Roman" w:hAnsi="Times New Roman" w:cs="Times New Roman"/>
                <w:sz w:val="24"/>
                <w:szCs w:val="24"/>
              </w:rPr>
              <w:fldChar w:fldCharType="begin"/>
            </w:r>
            <w:r w:rsidR="00715CE0" w:rsidRPr="00820AB1">
              <w:rPr>
                <w:rFonts w:ascii="Times New Roman" w:hAnsi="Times New Roman" w:cs="Times New Roman"/>
                <w:sz w:val="24"/>
                <w:szCs w:val="24"/>
              </w:rPr>
              <w:instrText xml:space="preserve"> PAGEREF _Toc208820436 \h </w:instrText>
            </w:r>
            <w:r w:rsidR="00715CE0" w:rsidRPr="00820AB1">
              <w:rPr>
                <w:rFonts w:ascii="Times New Roman" w:hAnsi="Times New Roman" w:cs="Times New Roman"/>
                <w:sz w:val="24"/>
                <w:szCs w:val="24"/>
              </w:rPr>
            </w:r>
            <w:r w:rsidR="00715CE0" w:rsidRPr="00820AB1">
              <w:rPr>
                <w:rFonts w:ascii="Times New Roman" w:hAnsi="Times New Roman" w:cs="Times New Roman"/>
                <w:sz w:val="24"/>
                <w:szCs w:val="24"/>
              </w:rPr>
              <w:fldChar w:fldCharType="separate"/>
            </w:r>
            <w:r>
              <w:rPr>
                <w:rFonts w:ascii="Times New Roman" w:hAnsi="Times New Roman" w:cs="Times New Roman"/>
                <w:noProof/>
                <w:sz w:val="24"/>
                <w:szCs w:val="24"/>
              </w:rPr>
              <w:t>62</w:t>
            </w:r>
            <w:r w:rsidR="00715CE0" w:rsidRPr="00820AB1">
              <w:rPr>
                <w:rFonts w:ascii="Times New Roman" w:hAnsi="Times New Roman" w:cs="Times New Roman"/>
                <w:sz w:val="24"/>
                <w:szCs w:val="24"/>
              </w:rPr>
              <w:fldChar w:fldCharType="end"/>
            </w:r>
          </w:hyperlink>
        </w:p>
        <w:p w:rsidR="003451D7" w:rsidRDefault="00715CE0">
          <w:pPr>
            <w:spacing w:before="240" w:after="240" w:line="360" w:lineRule="auto"/>
            <w:rPr>
              <w:rFonts w:ascii="Times New Roman" w:hAnsi="Times New Roman" w:cs="Times New Roman"/>
              <w:sz w:val="24"/>
              <w:szCs w:val="24"/>
            </w:rPr>
          </w:pPr>
          <w:r w:rsidRPr="00820AB1">
            <w:rPr>
              <w:rFonts w:ascii="Times New Roman" w:hAnsi="Times New Roman" w:cs="Times New Roman"/>
              <w:b/>
              <w:bCs/>
              <w:sz w:val="24"/>
              <w:szCs w:val="24"/>
            </w:rPr>
            <w:fldChar w:fldCharType="end"/>
          </w:r>
        </w:p>
      </w:sdtContent>
    </w:sdt>
    <w:p w:rsidR="003451D7" w:rsidRDefault="00715CE0">
      <w:pPr>
        <w:spacing w:before="240" w:after="240" w:line="360" w:lineRule="auto"/>
        <w:rPr>
          <w:rFonts w:ascii="Times New Roman" w:hAnsi="Times New Roman" w:cs="Times New Roman"/>
          <w:b/>
          <w:bCs/>
          <w:sz w:val="24"/>
          <w:szCs w:val="24"/>
        </w:rPr>
      </w:pPr>
      <w:r>
        <w:rPr>
          <w:rFonts w:ascii="Times New Roman" w:hAnsi="Times New Roman" w:cs="Times New Roman"/>
          <w:b/>
          <w:bCs/>
          <w:sz w:val="24"/>
          <w:szCs w:val="24"/>
        </w:rPr>
        <w:br w:type="page"/>
      </w:r>
    </w:p>
    <w:p w:rsidR="003451D7" w:rsidRDefault="00715CE0">
      <w:pPr>
        <w:pStyle w:val="Pre-TOC"/>
        <w:outlineLvl w:val="0"/>
        <w:rPr>
          <w:sz w:val="24"/>
          <w:szCs w:val="24"/>
        </w:rPr>
      </w:pPr>
      <w:bookmarkStart w:id="4" w:name="_Toc208820374"/>
      <w:r>
        <w:rPr>
          <w:sz w:val="24"/>
          <w:szCs w:val="24"/>
        </w:rPr>
        <w:lastRenderedPageBreak/>
        <w:t>List of Tables</w:t>
      </w:r>
      <w:bookmarkEnd w:id="4"/>
    </w:p>
    <w:p w:rsidR="003451D7" w:rsidRDefault="00715CE0">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TOC \h \z \c "Table" </w:instrText>
      </w:r>
      <w:r>
        <w:rPr>
          <w:rFonts w:ascii="Times New Roman" w:hAnsi="Times New Roman" w:cs="Times New Roman"/>
          <w:b/>
          <w:bCs/>
          <w:sz w:val="24"/>
          <w:szCs w:val="24"/>
        </w:rPr>
        <w:fldChar w:fldCharType="separate"/>
      </w:r>
      <w:hyperlink r:id="rId11" w:anchor="_Toc204038312" w:history="1">
        <w:r>
          <w:rPr>
            <w:rStyle w:val="Hyperlink"/>
            <w:rFonts w:ascii="Times New Roman" w:hAnsi="Times New Roman" w:cs="Times New Roman"/>
            <w:b/>
            <w:bCs/>
            <w:sz w:val="24"/>
            <w:szCs w:val="24"/>
          </w:rPr>
          <w:t xml:space="preserve">Table 3.1 </w:t>
        </w:r>
        <w:r>
          <w:rPr>
            <w:rStyle w:val="Hyperlink"/>
            <w:rFonts w:ascii="Times New Roman" w:hAnsi="Times New Roman" w:cs="Times New Roman"/>
            <w:sz w:val="24"/>
            <w:szCs w:val="24"/>
          </w:rPr>
          <w:t>Question used in the questionnaire for the Survey</w:t>
        </w:r>
        <w:r>
          <w:rPr>
            <w:rStyle w:val="Hyperlink"/>
            <w:rFonts w:ascii="Times New Roman" w:hAnsi="Times New Roman" w:cs="Times New Roman"/>
            <w:sz w:val="24"/>
            <w:szCs w:val="24"/>
          </w:rPr>
          <w:tab/>
        </w:r>
        <w:r>
          <w:rPr>
            <w:rStyle w:val="Hyperlink"/>
            <w:rFonts w:ascii="Times New Roman" w:hAnsi="Times New Roman" w:cs="Times New Roman"/>
            <w:sz w:val="24"/>
            <w:szCs w:val="24"/>
          </w:rPr>
          <w:fldChar w:fldCharType="begin"/>
        </w:r>
        <w:r>
          <w:rPr>
            <w:rStyle w:val="Hyperlink"/>
            <w:rFonts w:ascii="Times New Roman" w:hAnsi="Times New Roman" w:cs="Times New Roman"/>
            <w:sz w:val="24"/>
            <w:szCs w:val="24"/>
          </w:rPr>
          <w:instrText xml:space="preserve"> PAGEREF _Toc204038312 \h </w:instrText>
        </w:r>
        <w:r>
          <w:rPr>
            <w:rStyle w:val="Hyperlink"/>
            <w:rFonts w:ascii="Times New Roman" w:hAnsi="Times New Roman" w:cs="Times New Roman"/>
            <w:sz w:val="24"/>
            <w:szCs w:val="24"/>
          </w:rPr>
        </w:r>
        <w:r>
          <w:rPr>
            <w:rStyle w:val="Hyperlink"/>
            <w:rFonts w:ascii="Times New Roman" w:hAnsi="Times New Roman" w:cs="Times New Roman"/>
            <w:sz w:val="24"/>
            <w:szCs w:val="24"/>
          </w:rPr>
          <w:fldChar w:fldCharType="separate"/>
        </w:r>
        <w:r w:rsidR="00DE5BAE">
          <w:rPr>
            <w:rStyle w:val="Hyperlink"/>
            <w:rFonts w:ascii="Times New Roman" w:hAnsi="Times New Roman" w:cs="Times New Roman"/>
            <w:noProof/>
            <w:sz w:val="24"/>
            <w:szCs w:val="24"/>
          </w:rPr>
          <w:t>17</w:t>
        </w:r>
        <w:r>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12" w:anchor="_Toc204038313" w:history="1">
        <w:r w:rsidR="00715CE0">
          <w:rPr>
            <w:rStyle w:val="Hyperlink"/>
            <w:rFonts w:ascii="Times New Roman" w:hAnsi="Times New Roman" w:cs="Times New Roman"/>
            <w:b/>
            <w:bCs/>
            <w:sz w:val="24"/>
            <w:szCs w:val="24"/>
          </w:rPr>
          <w:t xml:space="preserve">Table 3.2 </w:t>
        </w:r>
        <w:r w:rsidR="00715CE0">
          <w:rPr>
            <w:rStyle w:val="Hyperlink"/>
            <w:rFonts w:ascii="Times New Roman" w:hAnsi="Times New Roman" w:cs="Times New Roman"/>
            <w:sz w:val="24"/>
            <w:szCs w:val="24"/>
          </w:rPr>
          <w:t>Input Parameters for Chronic Daily Intake</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_Toc204038313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24</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13" w:anchor="_Toc204038314" w:history="1">
        <w:r w:rsidR="00715CE0">
          <w:rPr>
            <w:rStyle w:val="Hyperlink"/>
            <w:rFonts w:ascii="Times New Roman" w:hAnsi="Times New Roman" w:cs="Times New Roman"/>
            <w:b/>
            <w:bCs/>
            <w:sz w:val="24"/>
            <w:szCs w:val="24"/>
          </w:rPr>
          <w:t xml:space="preserve">Table 3.3 </w:t>
        </w:r>
        <w:r w:rsidR="00715CE0">
          <w:rPr>
            <w:rStyle w:val="Hyperlink"/>
            <w:rFonts w:ascii="Times New Roman" w:hAnsi="Times New Roman" w:cs="Times New Roman"/>
            <w:sz w:val="24"/>
            <w:szCs w:val="24"/>
          </w:rPr>
          <w:t>Reference dose for dermal exposure associated with Heavy metals</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_Toc204038314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25</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14" w:anchor="_Toc204038315" w:history="1">
        <w:r w:rsidR="00715CE0">
          <w:rPr>
            <w:rStyle w:val="Hyperlink"/>
            <w:rFonts w:ascii="Times New Roman" w:hAnsi="Times New Roman" w:cs="Times New Roman"/>
            <w:b/>
            <w:bCs/>
            <w:sz w:val="24"/>
            <w:szCs w:val="24"/>
          </w:rPr>
          <w:t xml:space="preserve">Table 4.1 </w:t>
        </w:r>
        <w:r w:rsidR="00715CE0">
          <w:rPr>
            <w:rStyle w:val="Hyperlink"/>
            <w:rFonts w:ascii="Times New Roman" w:hAnsi="Times New Roman" w:cs="Times New Roman"/>
            <w:sz w:val="24"/>
            <w:szCs w:val="24"/>
          </w:rPr>
          <w:t>Have You Ever Experienced Any of The Following Side Effects from Using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_Toc204038315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33</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15" w:anchor="_Toc204038316" w:history="1">
        <w:r w:rsidR="00715CE0">
          <w:rPr>
            <w:rStyle w:val="Hyperlink"/>
            <w:rFonts w:ascii="Times New Roman" w:hAnsi="Times New Roman" w:cs="Times New Roman"/>
            <w:b/>
            <w:bCs/>
            <w:sz w:val="24"/>
            <w:szCs w:val="24"/>
          </w:rPr>
          <w:t xml:space="preserve">Table 4.2 </w:t>
        </w:r>
        <w:r w:rsidR="00715CE0">
          <w:rPr>
            <w:rStyle w:val="Hyperlink"/>
            <w:rFonts w:ascii="Times New Roman" w:hAnsi="Times New Roman" w:cs="Times New Roman"/>
            <w:sz w:val="24"/>
            <w:szCs w:val="24"/>
          </w:rPr>
          <w:t>Questionnaire Results</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_Toc204038316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34</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16" w:anchor="_Toc204038317" w:history="1">
        <w:r w:rsidR="00715CE0">
          <w:rPr>
            <w:rStyle w:val="Hyperlink"/>
            <w:rFonts w:ascii="Times New Roman" w:hAnsi="Times New Roman" w:cs="Times New Roman"/>
            <w:b/>
            <w:bCs/>
            <w:sz w:val="24"/>
            <w:szCs w:val="24"/>
          </w:rPr>
          <w:t xml:space="preserve">Table 4.3 </w:t>
        </w:r>
        <w:r w:rsidR="00715CE0">
          <w:rPr>
            <w:rStyle w:val="Hyperlink"/>
            <w:rFonts w:ascii="Times New Roman" w:hAnsi="Times New Roman" w:cs="Times New Roman"/>
            <w:sz w:val="24"/>
            <w:szCs w:val="24"/>
          </w:rPr>
          <w:t>Results of Temperature and pH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_Toc204038317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36</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17" w:anchor="_Toc204038318" w:history="1">
        <w:r w:rsidR="00715CE0">
          <w:rPr>
            <w:rStyle w:val="Hyperlink"/>
            <w:rFonts w:ascii="Times New Roman" w:hAnsi="Times New Roman" w:cs="Times New Roman"/>
            <w:b/>
            <w:bCs/>
            <w:sz w:val="24"/>
            <w:szCs w:val="24"/>
          </w:rPr>
          <w:t xml:space="preserve">Table 4.4 </w:t>
        </w:r>
        <w:r w:rsidR="00715CE0">
          <w:rPr>
            <w:rStyle w:val="Hyperlink"/>
            <w:rFonts w:ascii="Times New Roman" w:hAnsi="Times New Roman" w:cs="Times New Roman"/>
            <w:sz w:val="24"/>
            <w:szCs w:val="24"/>
          </w:rPr>
          <w:t>Heavy metal concentration results</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_Toc204038318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43</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18" w:anchor="_Toc204038319" w:history="1">
        <w:r w:rsidR="00715CE0">
          <w:rPr>
            <w:rStyle w:val="Hyperlink"/>
            <w:rFonts w:ascii="Times New Roman" w:hAnsi="Times New Roman" w:cs="Times New Roman"/>
            <w:b/>
            <w:bCs/>
            <w:sz w:val="24"/>
            <w:szCs w:val="24"/>
          </w:rPr>
          <w:t xml:space="preserve">Table 4.5 </w:t>
        </w:r>
        <w:r w:rsidR="00715CE0">
          <w:rPr>
            <w:rStyle w:val="Hyperlink"/>
            <w:rFonts w:ascii="Times New Roman" w:hAnsi="Times New Roman" w:cs="Times New Roman"/>
            <w:sz w:val="24"/>
            <w:szCs w:val="24"/>
          </w:rPr>
          <w:t>Chronic Daily Intake (CDI) and Health Quotient (HQ)</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_Toc204038319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46</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19" w:anchor="_Toc204038320" w:history="1">
        <w:r w:rsidR="00715CE0">
          <w:rPr>
            <w:rStyle w:val="Hyperlink"/>
            <w:rFonts w:ascii="Times New Roman" w:hAnsi="Times New Roman" w:cs="Times New Roman"/>
            <w:b/>
            <w:bCs/>
            <w:sz w:val="24"/>
            <w:szCs w:val="24"/>
          </w:rPr>
          <w:t xml:space="preserve">Table 4.6 </w:t>
        </w:r>
        <w:r w:rsidR="00715CE0">
          <w:rPr>
            <w:rStyle w:val="Hyperlink"/>
            <w:rFonts w:ascii="Times New Roman" w:hAnsi="Times New Roman" w:cs="Times New Roman"/>
            <w:sz w:val="24"/>
            <w:szCs w:val="24"/>
          </w:rPr>
          <w:t>Concentration of Steroids in Facewash Samples</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_Toc204038320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50</w:t>
        </w:r>
        <w:r w:rsidR="00715CE0">
          <w:rPr>
            <w:rStyle w:val="Hyperlink"/>
            <w:rFonts w:ascii="Times New Roman" w:hAnsi="Times New Roman" w:cs="Times New Roman"/>
            <w:sz w:val="24"/>
            <w:szCs w:val="24"/>
          </w:rPr>
          <w:fldChar w:fldCharType="end"/>
        </w:r>
      </w:hyperlink>
    </w:p>
    <w:p w:rsidR="003451D7" w:rsidRDefault="00715CE0">
      <w:pPr>
        <w:pStyle w:val="TableofFigures"/>
        <w:tabs>
          <w:tab w:val="right" w:leader="dot" w:pos="9350"/>
        </w:tabs>
        <w:spacing w:before="240" w:after="240" w:line="360" w:lineRule="auto"/>
        <w:rPr>
          <w:rFonts w:ascii="Times New Roman" w:hAnsi="Times New Roman" w:cs="Times New Roman"/>
          <w:b/>
          <w:bCs/>
          <w:sz w:val="24"/>
          <w:szCs w:val="24"/>
        </w:rPr>
      </w:pPr>
      <w:r>
        <w:rPr>
          <w:rFonts w:ascii="Times New Roman" w:hAnsi="Times New Roman" w:cs="Times New Roman"/>
          <w:b/>
          <w:bCs/>
          <w:sz w:val="24"/>
          <w:szCs w:val="24"/>
        </w:rPr>
        <w:fldChar w:fldCharType="end"/>
      </w: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TOC \h \z \c "Table" </w:instrText>
      </w:r>
      <w:r>
        <w:rPr>
          <w:rFonts w:ascii="Times New Roman" w:hAnsi="Times New Roman" w:cs="Times New Roman"/>
          <w:b/>
          <w:bCs/>
          <w:sz w:val="24"/>
          <w:szCs w:val="24"/>
        </w:rPr>
        <w:fldChar w:fldCharType="end"/>
      </w:r>
      <w:r>
        <w:rPr>
          <w:rFonts w:ascii="Times New Roman" w:hAnsi="Times New Roman" w:cs="Times New Roman"/>
          <w:b/>
          <w:bCs/>
          <w:sz w:val="24"/>
          <w:szCs w:val="24"/>
        </w:rPr>
        <w:br w:type="page"/>
      </w:r>
    </w:p>
    <w:p w:rsidR="003451D7" w:rsidRDefault="00715CE0">
      <w:pPr>
        <w:pStyle w:val="Pre-TOC"/>
        <w:outlineLvl w:val="0"/>
        <w:rPr>
          <w:sz w:val="24"/>
          <w:szCs w:val="24"/>
        </w:rPr>
      </w:pPr>
      <w:bookmarkStart w:id="5" w:name="_Toc208820375"/>
      <w:r>
        <w:rPr>
          <w:sz w:val="24"/>
          <w:szCs w:val="24"/>
        </w:rPr>
        <w:lastRenderedPageBreak/>
        <w:t>List of Figures</w:t>
      </w:r>
      <w:bookmarkEnd w:id="5"/>
    </w:p>
    <w:p w:rsidR="003451D7" w:rsidRDefault="00715CE0">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r:id="rId20" w:anchor="_Toc204038284" w:history="1">
        <w:r>
          <w:rPr>
            <w:rStyle w:val="Hyperlink"/>
            <w:rFonts w:ascii="Times New Roman" w:hAnsi="Times New Roman" w:cs="Times New Roman"/>
            <w:b/>
            <w:bCs/>
            <w:sz w:val="24"/>
            <w:szCs w:val="24"/>
          </w:rPr>
          <w:t xml:space="preserve">Figure 3.1 </w:t>
        </w:r>
        <w:r>
          <w:rPr>
            <w:rStyle w:val="Hyperlink"/>
            <w:rFonts w:ascii="Times New Roman" w:hAnsi="Times New Roman" w:cs="Times New Roman"/>
            <w:sz w:val="24"/>
            <w:szCs w:val="24"/>
          </w:rPr>
          <w:t>Face Wash Samples</w:t>
        </w:r>
        <w:r>
          <w:rPr>
            <w:rStyle w:val="Hyperlink"/>
            <w:rFonts w:ascii="Times New Roman" w:hAnsi="Times New Roman" w:cs="Times New Roman"/>
            <w:sz w:val="24"/>
            <w:szCs w:val="24"/>
          </w:rPr>
          <w:tab/>
        </w:r>
        <w:r>
          <w:rPr>
            <w:rStyle w:val="Hyperlink"/>
            <w:rFonts w:ascii="Times New Roman" w:hAnsi="Times New Roman" w:cs="Times New Roman"/>
            <w:sz w:val="24"/>
            <w:szCs w:val="24"/>
          </w:rPr>
          <w:fldChar w:fldCharType="begin"/>
        </w:r>
        <w:r>
          <w:rPr>
            <w:rStyle w:val="Hyperlink"/>
            <w:rFonts w:ascii="Times New Roman" w:hAnsi="Times New Roman" w:cs="Times New Roman"/>
            <w:sz w:val="24"/>
            <w:szCs w:val="24"/>
          </w:rPr>
          <w:instrText xml:space="preserve"> PAGEREF _Toc204038284 \h </w:instrText>
        </w:r>
        <w:r>
          <w:rPr>
            <w:rStyle w:val="Hyperlink"/>
            <w:rFonts w:ascii="Times New Roman" w:hAnsi="Times New Roman" w:cs="Times New Roman"/>
            <w:sz w:val="24"/>
            <w:szCs w:val="24"/>
          </w:rPr>
        </w:r>
        <w:r>
          <w:rPr>
            <w:rStyle w:val="Hyperlink"/>
            <w:rFonts w:ascii="Times New Roman" w:hAnsi="Times New Roman" w:cs="Times New Roman"/>
            <w:sz w:val="24"/>
            <w:szCs w:val="24"/>
          </w:rPr>
          <w:fldChar w:fldCharType="separate"/>
        </w:r>
        <w:r w:rsidR="00DE5BAE">
          <w:rPr>
            <w:rStyle w:val="Hyperlink"/>
            <w:rFonts w:ascii="Times New Roman" w:hAnsi="Times New Roman" w:cs="Times New Roman"/>
            <w:noProof/>
            <w:sz w:val="24"/>
            <w:szCs w:val="24"/>
          </w:rPr>
          <w:t>17</w:t>
        </w:r>
        <w:r>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hAnsi="Times New Roman" w:cs="Times New Roman"/>
          <w:b/>
          <w:bCs/>
          <w:sz w:val="24"/>
          <w:szCs w:val="24"/>
        </w:rPr>
      </w:pPr>
      <w:hyperlink r:id="rId21" w:anchor="_Toc204038285" w:history="1">
        <w:r w:rsidR="00715CE0">
          <w:rPr>
            <w:rStyle w:val="Hyperlink"/>
            <w:rFonts w:ascii="Times New Roman" w:hAnsi="Times New Roman" w:cs="Times New Roman"/>
            <w:b/>
            <w:bCs/>
            <w:sz w:val="24"/>
            <w:szCs w:val="24"/>
          </w:rPr>
          <w:t>Figure 3.2</w:t>
        </w:r>
        <w:r w:rsidR="00715CE0">
          <w:rPr>
            <w:rStyle w:val="Hyperlink"/>
            <w:rFonts w:ascii="Times New Roman" w:hAnsi="Times New Roman" w:cs="Times New Roman"/>
            <w:sz w:val="24"/>
            <w:szCs w:val="24"/>
          </w:rPr>
          <w:t xml:space="preserve"> Samples during digestion and dilution (a)</w:t>
        </w:r>
        <w:r w:rsidR="00715CE0">
          <w:rPr>
            <w:rStyle w:val="Hyperlink"/>
            <w:rFonts w:ascii="Times New Roman" w:hAnsi="Times New Roman" w:cs="Times New Roman"/>
            <w:b/>
            <w:bCs/>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_Toc204038285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18</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hAnsi="Times New Roman" w:cs="Times New Roman"/>
          <w:b/>
          <w:bCs/>
          <w:sz w:val="24"/>
          <w:szCs w:val="24"/>
        </w:rPr>
      </w:pPr>
      <w:hyperlink r:id="rId22" w:anchor="_Toc204038285" w:history="1">
        <w:r w:rsidR="00715CE0">
          <w:rPr>
            <w:rStyle w:val="Hyperlink"/>
            <w:rFonts w:ascii="Times New Roman" w:hAnsi="Times New Roman" w:cs="Times New Roman"/>
            <w:b/>
            <w:bCs/>
            <w:sz w:val="24"/>
            <w:szCs w:val="24"/>
          </w:rPr>
          <w:t>Figure 3.3</w:t>
        </w:r>
        <w:r w:rsidR="00715CE0">
          <w:rPr>
            <w:rStyle w:val="Hyperlink"/>
            <w:rFonts w:ascii="Times New Roman" w:hAnsi="Times New Roman" w:cs="Times New Roman"/>
            <w:sz w:val="24"/>
            <w:szCs w:val="24"/>
          </w:rPr>
          <w:t xml:space="preserve"> Samples during digestion and dilution (b)</w:t>
        </w:r>
        <w:r w:rsidR="00715CE0">
          <w:rPr>
            <w:rStyle w:val="Hyperlink"/>
            <w:rFonts w:ascii="Times New Roman" w:hAnsi="Times New Roman" w:cs="Times New Roman"/>
            <w:b/>
            <w:bCs/>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_Toc204038285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18</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23" w:anchor="_Toc204038286" w:history="1">
        <w:r w:rsidR="00715CE0">
          <w:rPr>
            <w:rStyle w:val="Hyperlink"/>
            <w:rFonts w:ascii="Times New Roman" w:hAnsi="Times New Roman" w:cs="Times New Roman"/>
            <w:b/>
            <w:bCs/>
            <w:sz w:val="24"/>
            <w:szCs w:val="24"/>
          </w:rPr>
          <w:t xml:space="preserve">Figure 3.4 </w:t>
        </w:r>
        <w:r w:rsidR="00715CE0">
          <w:rPr>
            <w:rStyle w:val="Hyperlink"/>
            <w:rFonts w:ascii="Times New Roman" w:hAnsi="Times New Roman" w:cs="Times New Roman"/>
            <w:sz w:val="24"/>
            <w:szCs w:val="24"/>
          </w:rPr>
          <w:t>Blank solution run to calibrate the instrument</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_Toc204038286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19</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24" w:anchor="_Toc204038287" w:history="1">
        <w:r w:rsidR="00715CE0">
          <w:rPr>
            <w:rStyle w:val="Hyperlink"/>
            <w:rFonts w:ascii="Times New Roman" w:hAnsi="Times New Roman" w:cs="Times New Roman"/>
            <w:b/>
            <w:bCs/>
            <w:sz w:val="24"/>
            <w:szCs w:val="24"/>
          </w:rPr>
          <w:t xml:space="preserve">Figure 3.5 </w:t>
        </w:r>
        <w:r w:rsidR="00715CE0">
          <w:rPr>
            <w:rStyle w:val="Hyperlink"/>
            <w:rFonts w:ascii="Times New Roman" w:hAnsi="Times New Roman" w:cs="Times New Roman"/>
            <w:sz w:val="24"/>
            <w:szCs w:val="24"/>
          </w:rPr>
          <w:t>Samples detection on HPLC (a)</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_Toc204038287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22</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25" w:anchor="_Toc204038288" w:history="1">
        <w:r w:rsidR="00715CE0">
          <w:rPr>
            <w:rStyle w:val="Hyperlink"/>
            <w:rFonts w:ascii="Times New Roman" w:hAnsi="Times New Roman" w:cs="Times New Roman"/>
            <w:b/>
            <w:bCs/>
            <w:sz w:val="24"/>
            <w:szCs w:val="24"/>
          </w:rPr>
          <w:t xml:space="preserve">Figure 3.6 </w:t>
        </w:r>
        <w:r w:rsidR="00715CE0">
          <w:rPr>
            <w:rStyle w:val="Hyperlink"/>
            <w:rFonts w:ascii="Times New Roman" w:hAnsi="Times New Roman" w:cs="Times New Roman"/>
            <w:sz w:val="24"/>
            <w:szCs w:val="24"/>
          </w:rPr>
          <w:t>Samples detection on HPLC (b)</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_Toc204038288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23</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26" w:anchor="_Toc204038289" w:history="1">
        <w:r w:rsidR="00715CE0">
          <w:rPr>
            <w:rStyle w:val="Hyperlink"/>
            <w:rFonts w:ascii="Times New Roman" w:hAnsi="Times New Roman" w:cs="Times New Roman"/>
            <w:b/>
            <w:bCs/>
            <w:sz w:val="24"/>
            <w:szCs w:val="24"/>
          </w:rPr>
          <w:t xml:space="preserve">Figure 4.1 </w:t>
        </w:r>
        <w:r w:rsidR="00715CE0">
          <w:rPr>
            <w:rStyle w:val="Hyperlink"/>
            <w:rFonts w:ascii="Times New Roman" w:hAnsi="Times New Roman" w:cs="Times New Roman"/>
            <w:sz w:val="24"/>
            <w:szCs w:val="24"/>
          </w:rPr>
          <w:t>Gender Percentage</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_Toc204038289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27</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27" w:anchor="_Toc204038290" w:history="1">
        <w:r w:rsidR="00715CE0">
          <w:rPr>
            <w:rStyle w:val="Hyperlink"/>
            <w:rFonts w:ascii="Times New Roman" w:hAnsi="Times New Roman" w:cs="Times New Roman"/>
            <w:b/>
            <w:bCs/>
            <w:sz w:val="24"/>
            <w:szCs w:val="24"/>
          </w:rPr>
          <w:t xml:space="preserve">Figure 4.2 </w:t>
        </w:r>
        <w:r w:rsidR="00715CE0">
          <w:rPr>
            <w:rStyle w:val="Hyperlink"/>
            <w:rFonts w:ascii="Times New Roman" w:hAnsi="Times New Roman" w:cs="Times New Roman"/>
            <w:sz w:val="24"/>
            <w:szCs w:val="24"/>
          </w:rPr>
          <w:t>Age Groups of People Surveyed</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_Toc204038290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27</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28" w:anchor="_Toc204038291" w:history="1">
        <w:r w:rsidR="00715CE0">
          <w:rPr>
            <w:rStyle w:val="Hyperlink"/>
            <w:rFonts w:ascii="Times New Roman" w:hAnsi="Times New Roman" w:cs="Times New Roman"/>
            <w:b/>
            <w:bCs/>
            <w:sz w:val="24"/>
            <w:szCs w:val="24"/>
          </w:rPr>
          <w:t xml:space="preserve">Figure 4.3 </w:t>
        </w:r>
        <w:r w:rsidR="00715CE0">
          <w:rPr>
            <w:rStyle w:val="Hyperlink"/>
            <w:rFonts w:ascii="Times New Roman" w:hAnsi="Times New Roman" w:cs="Times New Roman"/>
            <w:sz w:val="24"/>
            <w:szCs w:val="24"/>
          </w:rPr>
          <w:t>Education Level of Surveyed People</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_Toc204038291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28</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29" w:anchor="_Toc204038292" w:history="1">
        <w:r w:rsidR="00715CE0">
          <w:rPr>
            <w:rStyle w:val="Hyperlink"/>
            <w:rFonts w:ascii="Times New Roman" w:hAnsi="Times New Roman" w:cs="Times New Roman"/>
            <w:b/>
            <w:bCs/>
            <w:sz w:val="24"/>
            <w:szCs w:val="24"/>
          </w:rPr>
          <w:t xml:space="preserve">Figure 4.4 </w:t>
        </w:r>
        <w:r w:rsidR="00715CE0">
          <w:rPr>
            <w:rStyle w:val="Hyperlink"/>
            <w:rFonts w:ascii="Times New Roman" w:hAnsi="Times New Roman" w:cs="Times New Roman"/>
            <w:sz w:val="24"/>
            <w:szCs w:val="24"/>
          </w:rPr>
          <w:t>List of Face Wash Brands Used by People</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_Toc204038292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29</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0" w:anchor="_Toc204038293" w:history="1">
        <w:r w:rsidR="00715CE0">
          <w:rPr>
            <w:rStyle w:val="Hyperlink"/>
            <w:rFonts w:ascii="Times New Roman" w:hAnsi="Times New Roman" w:cs="Times New Roman"/>
            <w:b/>
            <w:bCs/>
            <w:sz w:val="24"/>
            <w:szCs w:val="24"/>
          </w:rPr>
          <w:t xml:space="preserve">Figure 4.5 </w:t>
        </w:r>
        <w:r w:rsidR="00715CE0">
          <w:rPr>
            <w:rStyle w:val="Hyperlink"/>
            <w:rFonts w:ascii="Times New Roman" w:hAnsi="Times New Roman" w:cs="Times New Roman"/>
            <w:sz w:val="24"/>
            <w:szCs w:val="24"/>
          </w:rPr>
          <w:t>How Often Do You Use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_Toc204038293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29</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1" w:anchor="_Toc204038294" w:history="1">
        <w:r w:rsidR="00715CE0">
          <w:rPr>
            <w:rStyle w:val="Hyperlink"/>
            <w:rFonts w:ascii="Times New Roman" w:hAnsi="Times New Roman" w:cs="Times New Roman"/>
            <w:b/>
            <w:bCs/>
            <w:sz w:val="24"/>
            <w:szCs w:val="24"/>
          </w:rPr>
          <w:t xml:space="preserve">Figure 4.6 </w:t>
        </w:r>
        <w:r w:rsidR="00715CE0">
          <w:rPr>
            <w:rStyle w:val="Hyperlink"/>
            <w:rFonts w:ascii="Times New Roman" w:hAnsi="Times New Roman" w:cs="Times New Roman"/>
            <w:sz w:val="24"/>
            <w:szCs w:val="24"/>
          </w:rPr>
          <w:t>How Frequently Do You Use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_Toc204038294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30</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2" w:anchor="_Toc204038295" w:history="1">
        <w:r w:rsidR="00715CE0">
          <w:rPr>
            <w:rStyle w:val="Hyperlink"/>
            <w:rFonts w:ascii="Times New Roman" w:hAnsi="Times New Roman" w:cs="Times New Roman"/>
            <w:b/>
            <w:bCs/>
            <w:sz w:val="24"/>
            <w:szCs w:val="24"/>
          </w:rPr>
          <w:t xml:space="preserve">Figure 4.7 </w:t>
        </w:r>
        <w:r w:rsidR="00715CE0">
          <w:rPr>
            <w:rStyle w:val="Hyperlink"/>
            <w:rFonts w:ascii="Times New Roman" w:hAnsi="Times New Roman" w:cs="Times New Roman"/>
            <w:sz w:val="24"/>
            <w:szCs w:val="24"/>
          </w:rPr>
          <w:t>Have You Heard of The Following Harmful Substances (Heavy Metals, Steroids) in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_Toc204038295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31</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3" w:anchor="_Toc204038296" w:history="1">
        <w:r w:rsidR="00715CE0">
          <w:rPr>
            <w:rStyle w:val="Hyperlink"/>
            <w:rFonts w:ascii="Times New Roman" w:hAnsi="Times New Roman" w:cs="Times New Roman"/>
            <w:b/>
            <w:bCs/>
            <w:sz w:val="24"/>
            <w:szCs w:val="24"/>
          </w:rPr>
          <w:t xml:space="preserve">Figure 4.8 </w:t>
        </w:r>
        <w:r w:rsidR="00715CE0">
          <w:rPr>
            <w:rStyle w:val="Hyperlink"/>
            <w:rFonts w:ascii="Times New Roman" w:hAnsi="Times New Roman" w:cs="Times New Roman"/>
            <w:sz w:val="24"/>
            <w:szCs w:val="24"/>
          </w:rPr>
          <w:t>Do You Believe Heavy Metals and Steroids are Used in Face Wash Due to a Lack of Regulation in Pakistan?</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_Toc204038296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31</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4" w:anchor="_Toc204038297" w:history="1">
        <w:r w:rsidR="00715CE0">
          <w:rPr>
            <w:rStyle w:val="Hyperlink"/>
            <w:rFonts w:ascii="Times New Roman" w:hAnsi="Times New Roman" w:cs="Times New Roman"/>
            <w:b/>
            <w:bCs/>
            <w:sz w:val="24"/>
            <w:szCs w:val="24"/>
          </w:rPr>
          <w:t xml:space="preserve">Figure 4.9 </w:t>
        </w:r>
        <w:r w:rsidR="00715CE0">
          <w:rPr>
            <w:rStyle w:val="Hyperlink"/>
            <w:rFonts w:ascii="Times New Roman" w:hAnsi="Times New Roman" w:cs="Times New Roman"/>
            <w:sz w:val="24"/>
            <w:szCs w:val="24"/>
          </w:rPr>
          <w:t>Are You Aware of The Ingredients Used in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_Toc204038297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32</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5" w:anchor="_Toc204038298" w:history="1">
        <w:r w:rsidR="00715CE0">
          <w:rPr>
            <w:rStyle w:val="Hyperlink"/>
            <w:rFonts w:ascii="Times New Roman" w:hAnsi="Times New Roman" w:cs="Times New Roman"/>
            <w:b/>
            <w:bCs/>
            <w:sz w:val="24"/>
            <w:szCs w:val="24"/>
          </w:rPr>
          <w:t xml:space="preserve">Figure 4.10 </w:t>
        </w:r>
        <w:r w:rsidR="00715CE0">
          <w:rPr>
            <w:rStyle w:val="Hyperlink"/>
            <w:rFonts w:ascii="Times New Roman" w:hAnsi="Times New Roman" w:cs="Times New Roman"/>
            <w:sz w:val="24"/>
            <w:szCs w:val="24"/>
          </w:rPr>
          <w:t>Are You Aware of Any Long-term Health Risks Linked to the Use of Face Wash (e.g., skin thinning, skin infection)?</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_Toc204038298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33</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6" w:anchor="_Toc204038299" w:history="1">
        <w:r w:rsidR="00715CE0">
          <w:rPr>
            <w:rStyle w:val="Hyperlink"/>
            <w:rFonts w:ascii="Times New Roman" w:hAnsi="Times New Roman" w:cs="Times New Roman"/>
            <w:b/>
            <w:bCs/>
            <w:sz w:val="24"/>
            <w:szCs w:val="24"/>
          </w:rPr>
          <w:t xml:space="preserve">Figure 4.11 </w:t>
        </w:r>
        <w:r w:rsidR="00715CE0">
          <w:rPr>
            <w:rStyle w:val="Hyperlink"/>
            <w:rFonts w:ascii="Times New Roman" w:hAnsi="Times New Roman" w:cs="Times New Roman"/>
            <w:sz w:val="24"/>
            <w:szCs w:val="24"/>
          </w:rPr>
          <w:t>What are the Main reasons for Using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_Toc204038299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34</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7" w:anchor="_Toc204038300" w:history="1">
        <w:r w:rsidR="00715CE0">
          <w:rPr>
            <w:rStyle w:val="Hyperlink"/>
            <w:rFonts w:ascii="Times New Roman" w:hAnsi="Times New Roman" w:cs="Times New Roman"/>
            <w:b/>
            <w:bCs/>
            <w:sz w:val="24"/>
            <w:szCs w:val="24"/>
          </w:rPr>
          <w:t xml:space="preserve">Figure 4.12 </w:t>
        </w:r>
        <w:r w:rsidR="00715CE0">
          <w:rPr>
            <w:rStyle w:val="Hyperlink"/>
            <w:rFonts w:ascii="Times New Roman" w:hAnsi="Times New Roman" w:cs="Times New Roman"/>
            <w:sz w:val="24"/>
            <w:szCs w:val="24"/>
          </w:rPr>
          <w:t>Cadmium Concentration in Different Samples of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_Toc204038300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38</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8" w:anchor="_Toc204038301" w:history="1">
        <w:r w:rsidR="00715CE0">
          <w:rPr>
            <w:rStyle w:val="Hyperlink"/>
            <w:rFonts w:ascii="Times New Roman" w:hAnsi="Times New Roman" w:cs="Times New Roman"/>
            <w:b/>
            <w:bCs/>
            <w:sz w:val="24"/>
            <w:szCs w:val="24"/>
          </w:rPr>
          <w:t xml:space="preserve">Figure 4.13 </w:t>
        </w:r>
        <w:r w:rsidR="00715CE0">
          <w:rPr>
            <w:rStyle w:val="Hyperlink"/>
            <w:rFonts w:ascii="Times New Roman" w:hAnsi="Times New Roman" w:cs="Times New Roman"/>
            <w:sz w:val="24"/>
            <w:szCs w:val="24"/>
          </w:rPr>
          <w:t>Chromium Concentration in Different Samples of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_Toc204038301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39</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39" w:anchor="_Toc204038302" w:history="1">
        <w:r w:rsidR="00715CE0">
          <w:rPr>
            <w:rStyle w:val="Hyperlink"/>
            <w:rFonts w:ascii="Times New Roman" w:hAnsi="Times New Roman" w:cs="Times New Roman"/>
            <w:b/>
            <w:bCs/>
            <w:sz w:val="24"/>
            <w:szCs w:val="24"/>
          </w:rPr>
          <w:t xml:space="preserve">Figure 4.14 </w:t>
        </w:r>
        <w:r w:rsidR="00715CE0">
          <w:rPr>
            <w:rStyle w:val="Hyperlink"/>
            <w:rFonts w:ascii="Times New Roman" w:hAnsi="Times New Roman" w:cs="Times New Roman"/>
            <w:sz w:val="24"/>
            <w:szCs w:val="24"/>
          </w:rPr>
          <w:t>Nickel Concentration in Different Samples of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_Toc204038302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40</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40" w:anchor="_Toc204038303" w:history="1">
        <w:r w:rsidR="00715CE0">
          <w:rPr>
            <w:rStyle w:val="Hyperlink"/>
            <w:rFonts w:ascii="Times New Roman" w:hAnsi="Times New Roman" w:cs="Times New Roman"/>
            <w:b/>
            <w:bCs/>
            <w:sz w:val="24"/>
            <w:szCs w:val="24"/>
          </w:rPr>
          <w:t xml:space="preserve">Figure 4.15 </w:t>
        </w:r>
        <w:r w:rsidR="00715CE0">
          <w:rPr>
            <w:rStyle w:val="Hyperlink"/>
            <w:rFonts w:ascii="Times New Roman" w:hAnsi="Times New Roman" w:cs="Times New Roman"/>
            <w:sz w:val="24"/>
            <w:szCs w:val="24"/>
          </w:rPr>
          <w:t>Lead Concentration in Different Samples of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_Toc204038303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41</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41" w:anchor="_Toc204038304" w:history="1">
        <w:r w:rsidR="00715CE0">
          <w:rPr>
            <w:rStyle w:val="Hyperlink"/>
            <w:rFonts w:ascii="Times New Roman" w:hAnsi="Times New Roman" w:cs="Times New Roman"/>
            <w:b/>
            <w:bCs/>
            <w:sz w:val="24"/>
            <w:szCs w:val="24"/>
          </w:rPr>
          <w:t xml:space="preserve">Figure 4.16 </w:t>
        </w:r>
        <w:r w:rsidR="00715CE0">
          <w:rPr>
            <w:rStyle w:val="Hyperlink"/>
            <w:rFonts w:ascii="Times New Roman" w:hAnsi="Times New Roman" w:cs="Times New Roman"/>
            <w:sz w:val="24"/>
            <w:szCs w:val="24"/>
          </w:rPr>
          <w:t>Copper Concentration in Different Samples of Face Wash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_Toc204038304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42</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42" w:anchor="_Toc204038305" w:history="1">
        <w:r w:rsidR="00715CE0">
          <w:rPr>
            <w:rStyle w:val="Hyperlink"/>
            <w:rFonts w:ascii="Times New Roman" w:hAnsi="Times New Roman" w:cs="Times New Roman"/>
            <w:b/>
            <w:bCs/>
            <w:sz w:val="24"/>
            <w:szCs w:val="24"/>
          </w:rPr>
          <w:t xml:space="preserve">Figure 4.17 </w:t>
        </w:r>
        <w:r w:rsidR="00715CE0">
          <w:rPr>
            <w:rStyle w:val="Hyperlink"/>
            <w:rFonts w:ascii="Times New Roman" w:hAnsi="Times New Roman" w:cs="Times New Roman"/>
            <w:sz w:val="24"/>
            <w:szCs w:val="24"/>
          </w:rPr>
          <w:t>CDI and HQ</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_Toc204038305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47</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43" w:anchor="_Toc204038306" w:history="1">
        <w:r w:rsidR="00715CE0">
          <w:rPr>
            <w:rStyle w:val="Hyperlink"/>
            <w:rFonts w:ascii="Times New Roman" w:hAnsi="Times New Roman" w:cs="Times New Roman"/>
            <w:b/>
            <w:bCs/>
            <w:sz w:val="24"/>
            <w:szCs w:val="24"/>
          </w:rPr>
          <w:t xml:space="preserve">Figure 4.18 </w:t>
        </w:r>
        <w:r w:rsidR="00715CE0">
          <w:rPr>
            <w:rStyle w:val="Hyperlink"/>
            <w:rFonts w:ascii="Times New Roman" w:hAnsi="Times New Roman" w:cs="Times New Roman"/>
            <w:sz w:val="24"/>
            <w:szCs w:val="24"/>
          </w:rPr>
          <w:t>Hydrocortisone Standard Chromatograph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_Toc204038306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47</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44" w:anchor="_Toc204038307" w:history="1">
        <w:r w:rsidR="00715CE0">
          <w:rPr>
            <w:rStyle w:val="Hyperlink"/>
            <w:rFonts w:ascii="Times New Roman" w:hAnsi="Times New Roman" w:cs="Times New Roman"/>
            <w:b/>
            <w:bCs/>
            <w:sz w:val="24"/>
            <w:szCs w:val="24"/>
          </w:rPr>
          <w:t xml:space="preserve">Figure 4.19 </w:t>
        </w:r>
        <w:r w:rsidR="00715CE0">
          <w:rPr>
            <w:rStyle w:val="Hyperlink"/>
            <w:rFonts w:ascii="Times New Roman" w:hAnsi="Times New Roman" w:cs="Times New Roman"/>
            <w:sz w:val="24"/>
            <w:szCs w:val="24"/>
          </w:rPr>
          <w:t>Hydrocortisone detected Chromatograph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_Toc204038307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48</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45" w:anchor="_Toc204038308" w:history="1">
        <w:r w:rsidR="00715CE0">
          <w:rPr>
            <w:rStyle w:val="Hyperlink"/>
            <w:rFonts w:ascii="Times New Roman" w:hAnsi="Times New Roman" w:cs="Times New Roman"/>
            <w:b/>
            <w:bCs/>
            <w:sz w:val="24"/>
            <w:szCs w:val="24"/>
          </w:rPr>
          <w:t xml:space="preserve">Figure 4.20 </w:t>
        </w:r>
        <w:r w:rsidR="00715CE0">
          <w:rPr>
            <w:rStyle w:val="Hyperlink"/>
            <w:rFonts w:ascii="Times New Roman" w:hAnsi="Times New Roman" w:cs="Times New Roman"/>
            <w:sz w:val="24"/>
            <w:szCs w:val="24"/>
          </w:rPr>
          <w:t>Hydrocortisone non-detected Chromatograph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_Toc204038308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48</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46" w:anchor="_Toc204038309" w:history="1">
        <w:r w:rsidR="00715CE0">
          <w:rPr>
            <w:rStyle w:val="Hyperlink"/>
            <w:rFonts w:ascii="Times New Roman" w:hAnsi="Times New Roman" w:cs="Times New Roman"/>
            <w:b/>
            <w:bCs/>
            <w:sz w:val="24"/>
            <w:szCs w:val="24"/>
          </w:rPr>
          <w:t xml:space="preserve">Figure 4.21 </w:t>
        </w:r>
        <w:r w:rsidR="00715CE0">
          <w:rPr>
            <w:rStyle w:val="Hyperlink"/>
            <w:rFonts w:ascii="Times New Roman" w:hAnsi="Times New Roman" w:cs="Times New Roman"/>
            <w:sz w:val="24"/>
            <w:szCs w:val="24"/>
          </w:rPr>
          <w:t>Betamethasone standard Chromatograph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_Toc204038309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49</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47" w:anchor="_Toc204038310" w:history="1">
        <w:r w:rsidR="00715CE0">
          <w:rPr>
            <w:rStyle w:val="Hyperlink"/>
            <w:rFonts w:ascii="Times New Roman" w:hAnsi="Times New Roman" w:cs="Times New Roman"/>
            <w:b/>
            <w:bCs/>
            <w:sz w:val="24"/>
            <w:szCs w:val="24"/>
          </w:rPr>
          <w:t xml:space="preserve">Figure 4.22 </w:t>
        </w:r>
        <w:r w:rsidR="00715CE0">
          <w:rPr>
            <w:rStyle w:val="Hyperlink"/>
            <w:rFonts w:ascii="Times New Roman" w:hAnsi="Times New Roman" w:cs="Times New Roman"/>
            <w:sz w:val="24"/>
            <w:szCs w:val="24"/>
          </w:rPr>
          <w:t>Betamethasone detected Chromatograph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_Toc204038310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50</w:t>
        </w:r>
        <w:r w:rsidR="00715CE0">
          <w:rPr>
            <w:rStyle w:val="Hyperlink"/>
            <w:rFonts w:ascii="Times New Roman" w:hAnsi="Times New Roman" w:cs="Times New Roman"/>
            <w:sz w:val="24"/>
            <w:szCs w:val="24"/>
          </w:rPr>
          <w:fldChar w:fldCharType="end"/>
        </w:r>
      </w:hyperlink>
    </w:p>
    <w:p w:rsidR="003451D7" w:rsidRDefault="00DE5BAE">
      <w:pPr>
        <w:pStyle w:val="TableofFigures"/>
        <w:tabs>
          <w:tab w:val="right" w:leader="dot" w:pos="9350"/>
        </w:tabs>
        <w:spacing w:before="240" w:after="240" w:line="360" w:lineRule="auto"/>
        <w:rPr>
          <w:rFonts w:ascii="Times New Roman" w:eastAsiaTheme="minorEastAsia" w:hAnsi="Times New Roman" w:cs="Times New Roman"/>
          <w:kern w:val="2"/>
          <w:sz w:val="24"/>
          <w:szCs w:val="24"/>
          <w14:ligatures w14:val="standardContextual"/>
        </w:rPr>
      </w:pPr>
      <w:hyperlink r:id="rId48" w:anchor="_Toc204038311" w:history="1">
        <w:r w:rsidR="00715CE0">
          <w:rPr>
            <w:rStyle w:val="Hyperlink"/>
            <w:rFonts w:ascii="Times New Roman" w:hAnsi="Times New Roman" w:cs="Times New Roman"/>
            <w:b/>
            <w:bCs/>
            <w:sz w:val="24"/>
            <w:szCs w:val="24"/>
          </w:rPr>
          <w:t xml:space="preserve">Figure 4.23 </w:t>
        </w:r>
        <w:r w:rsidR="00715CE0">
          <w:rPr>
            <w:rStyle w:val="Hyperlink"/>
            <w:rFonts w:ascii="Times New Roman" w:hAnsi="Times New Roman" w:cs="Times New Roman"/>
            <w:sz w:val="24"/>
            <w:szCs w:val="24"/>
          </w:rPr>
          <w:t>Betamethasone Non-detected Chromatograph</w:t>
        </w:r>
        <w:r w:rsidR="00715CE0">
          <w:rPr>
            <w:rStyle w:val="Hyperlink"/>
            <w:rFonts w:ascii="Times New Roman" w:hAnsi="Times New Roman" w:cs="Times New Roman"/>
            <w:sz w:val="24"/>
            <w:szCs w:val="24"/>
          </w:rPr>
          <w:tab/>
        </w:r>
        <w:r w:rsidR="00715CE0">
          <w:rPr>
            <w:rStyle w:val="Hyperlink"/>
            <w:rFonts w:ascii="Times New Roman" w:hAnsi="Times New Roman" w:cs="Times New Roman"/>
            <w:sz w:val="24"/>
            <w:szCs w:val="24"/>
          </w:rPr>
          <w:fldChar w:fldCharType="begin"/>
        </w:r>
        <w:r w:rsidR="00715CE0">
          <w:rPr>
            <w:rStyle w:val="Hyperlink"/>
            <w:rFonts w:ascii="Times New Roman" w:hAnsi="Times New Roman" w:cs="Times New Roman"/>
            <w:sz w:val="24"/>
            <w:szCs w:val="24"/>
          </w:rPr>
          <w:instrText xml:space="preserve"> PAGEREF _Toc204038311 \h </w:instrText>
        </w:r>
        <w:r w:rsidR="00715CE0">
          <w:rPr>
            <w:rStyle w:val="Hyperlink"/>
            <w:rFonts w:ascii="Times New Roman" w:hAnsi="Times New Roman" w:cs="Times New Roman"/>
            <w:sz w:val="24"/>
            <w:szCs w:val="24"/>
          </w:rPr>
        </w:r>
        <w:r w:rsidR="00715CE0">
          <w:rPr>
            <w:rStyle w:val="Hyperlink"/>
            <w:rFonts w:ascii="Times New Roman" w:hAnsi="Times New Roman" w:cs="Times New Roman"/>
            <w:sz w:val="24"/>
            <w:szCs w:val="24"/>
          </w:rPr>
          <w:fldChar w:fldCharType="separate"/>
        </w:r>
        <w:r>
          <w:rPr>
            <w:rStyle w:val="Hyperlink"/>
            <w:rFonts w:ascii="Times New Roman" w:hAnsi="Times New Roman" w:cs="Times New Roman"/>
            <w:noProof/>
            <w:sz w:val="24"/>
            <w:szCs w:val="24"/>
          </w:rPr>
          <w:t>50</w:t>
        </w:r>
        <w:r w:rsidR="00715CE0">
          <w:rPr>
            <w:rStyle w:val="Hyperlink"/>
            <w:rFonts w:ascii="Times New Roman" w:hAnsi="Times New Roman" w:cs="Times New Roman"/>
            <w:sz w:val="24"/>
            <w:szCs w:val="24"/>
          </w:rPr>
          <w:fldChar w:fldCharType="end"/>
        </w:r>
      </w:hyperlink>
    </w:p>
    <w:p w:rsidR="003451D7" w:rsidRDefault="00715CE0">
      <w:pPr>
        <w:pStyle w:val="TableofFigures"/>
        <w:tabs>
          <w:tab w:val="right" w:leader="dot" w:pos="9350"/>
        </w:tabs>
        <w:spacing w:before="240" w:after="240" w:line="360" w:lineRule="auto"/>
        <w:rPr>
          <w:rFonts w:ascii="Times New Roman" w:hAnsi="Times New Roman" w:cs="Times New Roman"/>
          <w:b/>
          <w:bCs/>
          <w:sz w:val="24"/>
          <w:szCs w:val="24"/>
        </w:rPr>
      </w:pPr>
      <w:r>
        <w:rPr>
          <w:rFonts w:ascii="Times New Roman" w:hAnsi="Times New Roman" w:cs="Times New Roman"/>
          <w:sz w:val="24"/>
          <w:szCs w:val="24"/>
        </w:rPr>
        <w:fldChar w:fldCharType="end"/>
      </w: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end"/>
      </w:r>
      <w:r>
        <w:rPr>
          <w:rFonts w:ascii="Times New Roman" w:hAnsi="Times New Roman" w:cs="Times New Roman"/>
          <w:b/>
          <w:bCs/>
          <w:sz w:val="24"/>
          <w:szCs w:val="24"/>
        </w:rPr>
        <w:br w:type="page"/>
      </w:r>
    </w:p>
    <w:p w:rsidR="003451D7" w:rsidRDefault="00715CE0">
      <w:pPr>
        <w:pStyle w:val="Pre-TOC"/>
        <w:outlineLvl w:val="0"/>
      </w:pPr>
      <w:bookmarkStart w:id="6" w:name="_Toc208820376"/>
      <w:r>
        <w:lastRenderedPageBreak/>
        <w:t>Abbreviations</w:t>
      </w:r>
      <w:bookmarkEnd w:id="6"/>
    </w:p>
    <w:tbl>
      <w:tblPr>
        <w:tblStyle w:val="TableGridLight1"/>
        <w:tblW w:w="9350" w:type="dxa"/>
        <w:tblLook w:val="04A0" w:firstRow="1" w:lastRow="0" w:firstColumn="1" w:lastColumn="0" w:noHBand="0" w:noVBand="1"/>
      </w:tblPr>
      <w:tblGrid>
        <w:gridCol w:w="4675"/>
        <w:gridCol w:w="4675"/>
      </w:tblGrid>
      <w:tr w:rsidR="003451D7">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HM</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Heavy Metal</w:t>
            </w:r>
          </w:p>
        </w:tc>
      </w:tr>
      <w:tr w:rsidR="003451D7">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FW</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Face Wash</w:t>
            </w:r>
          </w:p>
        </w:tc>
      </w:tr>
      <w:tr w:rsidR="003451D7">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Cd</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Cadmium</w:t>
            </w:r>
          </w:p>
        </w:tc>
      </w:tr>
      <w:tr w:rsidR="003451D7">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Cr</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Chromium</w:t>
            </w:r>
          </w:p>
        </w:tc>
      </w:tr>
      <w:tr w:rsidR="003451D7">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Pd</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Lead</w:t>
            </w:r>
          </w:p>
        </w:tc>
      </w:tr>
      <w:tr w:rsidR="003451D7">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Ni</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Nickel</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Cu</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Copper</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CS</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Metal Concentration of Sample</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ABS</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Dermal Absorption Fraction</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CF</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Unit Conversion Factor</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BW</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Body Weight</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SA</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Exposure Skin Area</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EF</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Exposure Frequency</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AT</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Average Time for Non-carcinogens</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CDI</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Chronic Daily Intake</w:t>
            </w:r>
          </w:p>
        </w:tc>
      </w:tr>
      <w:tr w:rsidR="003451D7">
        <w:trPr>
          <w:trHeight w:val="80"/>
        </w:trPr>
        <w:tc>
          <w:tcPr>
            <w:tcW w:w="4675" w:type="dxa"/>
          </w:tcPr>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RfDderm</w:t>
            </w:r>
          </w:p>
          <w:p w:rsidR="003451D7" w:rsidRDefault="003451D7">
            <w:pPr>
              <w:spacing w:after="0" w:line="240" w:lineRule="auto"/>
              <w:rPr>
                <w:rFonts w:ascii="Times New Roman" w:hAnsi="Times New Roman" w:cs="Times New Roman"/>
                <w:b/>
                <w:sz w:val="24"/>
                <w:szCs w:val="24"/>
              </w:rPr>
            </w:pPr>
          </w:p>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WHO</w:t>
            </w:r>
          </w:p>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USFDA</w:t>
            </w:r>
          </w:p>
          <w:p w:rsidR="003451D7" w:rsidRDefault="00715CE0">
            <w:pPr>
              <w:spacing w:after="0" w:line="240" w:lineRule="auto"/>
              <w:rPr>
                <w:rFonts w:ascii="Times New Roman" w:hAnsi="Times New Roman" w:cs="Times New Roman"/>
                <w:b/>
                <w:sz w:val="24"/>
                <w:szCs w:val="24"/>
              </w:rPr>
            </w:pPr>
            <w:r>
              <w:rPr>
                <w:rFonts w:ascii="Times New Roman" w:hAnsi="Times New Roman" w:cs="Times New Roman"/>
                <w:b/>
                <w:sz w:val="24"/>
                <w:szCs w:val="24"/>
              </w:rPr>
              <w:t>EU</w:t>
            </w:r>
          </w:p>
        </w:tc>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Absorbed Reference Dose for Dermal Exposure</w:t>
            </w:r>
          </w:p>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World Health organization</w:t>
            </w:r>
          </w:p>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United State Food and Drug Administration</w:t>
            </w:r>
          </w:p>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European Union</w:t>
            </w:r>
          </w:p>
        </w:tc>
      </w:tr>
    </w:tbl>
    <w:p w:rsidR="003451D7" w:rsidRDefault="003451D7">
      <w:pPr>
        <w:spacing w:after="0"/>
        <w:rPr>
          <w:rFonts w:ascii="Times New Roman" w:hAnsi="Times New Roman" w:cs="Times New Roman"/>
        </w:rPr>
        <w:sectPr w:rsidR="003451D7">
          <w:pgSz w:w="12240" w:h="15840"/>
          <w:pgMar w:top="1440" w:right="1440" w:bottom="1440" w:left="1440" w:header="708" w:footer="708" w:gutter="0"/>
          <w:pgNumType w:fmt="lowerRoman" w:start="1"/>
          <w:cols w:space="720"/>
        </w:sectPr>
      </w:pPr>
    </w:p>
    <w:p w:rsidR="003451D7" w:rsidRDefault="00715CE0">
      <w:pPr>
        <w:jc w:val="right"/>
        <w:rPr>
          <w:rFonts w:ascii="Times New Roman" w:hAnsi="Times New Roman" w:cs="Times New Roman"/>
          <w:bCs/>
          <w:szCs w:val="32"/>
        </w:rPr>
      </w:pPr>
      <w:r>
        <w:rPr>
          <w:rFonts w:ascii="Times New Roman" w:hAnsi="Times New Roman" w:cs="Times New Roman"/>
          <w:b/>
          <w:bCs/>
          <w:sz w:val="32"/>
          <w:szCs w:val="32"/>
        </w:rPr>
        <w:lastRenderedPageBreak/>
        <w:t>Chapter 1</w:t>
      </w:r>
    </w:p>
    <w:p w:rsidR="003451D7" w:rsidRDefault="00715CE0">
      <w:pPr>
        <w:pStyle w:val="Heading1"/>
        <w:rPr>
          <w:rFonts w:cs="Times New Roman"/>
        </w:rPr>
      </w:pPr>
      <w:bookmarkStart w:id="7" w:name="_Toc202982268"/>
      <w:bookmarkStart w:id="8" w:name="_Toc208820377"/>
      <w:bookmarkStart w:id="9" w:name="_Toc202990337"/>
      <w:r>
        <w:rPr>
          <w:rFonts w:cs="Times New Roman"/>
        </w:rPr>
        <w:t>Introduction</w:t>
      </w:r>
      <w:bookmarkEnd w:id="7"/>
      <w:bookmarkEnd w:id="8"/>
      <w:bookmarkEnd w:id="9"/>
    </w:p>
    <w:p w:rsidR="003451D7" w:rsidRPr="00CB5CEC" w:rsidRDefault="00715CE0" w:rsidP="00CB5CEC">
      <w:pPr>
        <w:pStyle w:val="NormalWeb"/>
        <w:spacing w:line="360" w:lineRule="auto"/>
        <w:jc w:val="both"/>
      </w:pPr>
      <w:r>
        <w:rPr>
          <w:color w:val="0E101A"/>
        </w:rPr>
        <w:t xml:space="preserve">Cosmetics are widely recognized products used globally to improve human appearance and beauty </w:t>
      </w:r>
      <w:r>
        <w:rPr>
          <w:color w:val="000000"/>
        </w:rPr>
        <w:t>(Morshed, 2017)</w:t>
      </w:r>
      <w:r>
        <w:rPr>
          <w:color w:val="0E101A"/>
        </w:rPr>
        <w:t xml:space="preserve">. </w:t>
      </w:r>
      <w:r>
        <w:t>Although face wash has been used for thousands of years, recent years have seen an increasing concern among consumers regarding the potential presence of harmful toxic substances in these formulations</w:t>
      </w:r>
      <w:r>
        <w:rPr>
          <w:color w:val="000000"/>
        </w:rPr>
        <w:t xml:space="preserve"> (Yebpella et al., 2014)</w:t>
      </w:r>
      <w:r>
        <w:rPr>
          <w:color w:val="0E101A"/>
        </w:rPr>
        <w:t xml:space="preserve">. Modern cosmetics are typically a blend of plant-based and synthetic ingredients, formulated to meet diverse public demands. Face wash, an essential component of daily hygiene, is designed to cleanse the face by removing natural oils, dust, and environmental impurities, thereby maintaining skin softness and smoothness. Cosmetics and other related products can be exposed in different ways especially in the form of heavy metals impurities. Oral exposure may be through the use of products that are applied in and around the mouth, as well as through the use of hand-mouth decontamination by touching the contaminated products. Nevertheless, the most serious way of exposure is known to be dermal exposure as most of the cosmetic products are applied to the skin (Massadeh et al., 2017). Most cosmetics have also been found to contain a moisturizing compound which may augment the permeability of the skin thereby enabling the toxic acceptance of the metals into the blood </w:t>
      </w:r>
      <w:r>
        <w:rPr>
          <w:color w:val="000000"/>
        </w:rPr>
        <w:t>(Ababneh &amp; Al-Momani et al., 2018)</w:t>
      </w:r>
      <w:r>
        <w:rPr>
          <w:color w:val="0E101A"/>
        </w:rPr>
        <w:t>.</w:t>
      </w:r>
    </w:p>
    <w:p w:rsidR="003451D7" w:rsidRDefault="00715CE0">
      <w:pPr>
        <w:pStyle w:val="Heading2"/>
        <w:rPr>
          <w:rFonts w:cs="Times New Roman"/>
        </w:rPr>
      </w:pPr>
      <w:bookmarkStart w:id="10" w:name="_Toc202982269"/>
      <w:bookmarkStart w:id="11" w:name="_Toc208820378"/>
      <w:bookmarkStart w:id="12" w:name="_Toc202990338"/>
      <w:r>
        <w:rPr>
          <w:rStyle w:val="Strong"/>
          <w:rFonts w:cs="Times New Roman"/>
          <w:b/>
          <w:bCs w:val="0"/>
        </w:rPr>
        <w:t>Heavy metals in cosmetics</w:t>
      </w:r>
      <w:bookmarkEnd w:id="10"/>
      <w:bookmarkEnd w:id="11"/>
      <w:bookmarkEnd w:id="12"/>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Heavy metals can be existing in cosmetic products either intentionally, as active elements or preservatives, or as residual contaminants from raw materials. Substances like mercuric chloride and lead carbonate were deliberately incorporated into mixtures for skin peeling and whitening </w:t>
      </w:r>
      <w:r>
        <w:rPr>
          <w:rFonts w:ascii="Times New Roman" w:eastAsia="Times New Roman" w:hAnsi="Times New Roman" w:cs="Times New Roman"/>
          <w:color w:val="000000"/>
          <w:sz w:val="24"/>
          <w:szCs w:val="24"/>
        </w:rPr>
        <w:t>(Burger et al., 2016)</w:t>
      </w:r>
      <w:r>
        <w:rPr>
          <w:rFonts w:ascii="Times New Roman" w:eastAsia="Times New Roman" w:hAnsi="Times New Roman" w:cs="Times New Roman"/>
          <w:color w:val="0E101A"/>
          <w:sz w:val="24"/>
          <w:szCs w:val="24"/>
        </w:rPr>
        <w:t xml:space="preserve">. Today, many cosmetic products are found to comprise heavy metals such as lead, cadmium, chromium, arsenic, mercury, cobalt, and nickel, whether as deliberate elements or unintended contaminants. Numerous recent studies have linked the occurrence of these metals to various skin problems. Consequently, the use of lead, arsenic, and mercury in skincare products is prohibited by law in most countries </w:t>
      </w:r>
      <w:r>
        <w:rPr>
          <w:rFonts w:ascii="Times New Roman" w:eastAsia="Times New Roman" w:hAnsi="Times New Roman" w:cs="Times New Roman"/>
          <w:color w:val="000000"/>
          <w:sz w:val="24"/>
          <w:szCs w:val="24"/>
        </w:rPr>
        <w:t>(Alam et al., 2019)</w:t>
      </w:r>
      <w:r>
        <w:rPr>
          <w:rFonts w:ascii="Times New Roman" w:eastAsia="Times New Roman" w:hAnsi="Times New Roman" w:cs="Times New Roman"/>
          <w:color w:val="0E101A"/>
          <w:sz w:val="24"/>
          <w:szCs w:val="24"/>
        </w:rPr>
        <w:t>.</w:t>
      </w:r>
    </w:p>
    <w:p w:rsidR="003451D7" w:rsidRDefault="00715CE0">
      <w:pPr>
        <w:pStyle w:val="Heading2"/>
        <w:rPr>
          <w:rFonts w:cs="Times New Roman"/>
        </w:rPr>
      </w:pPr>
      <w:bookmarkStart w:id="13" w:name="_Toc202982270"/>
      <w:bookmarkStart w:id="14" w:name="_Toc208820379"/>
      <w:bookmarkStart w:id="15" w:name="_Toc202990339"/>
      <w:r>
        <w:rPr>
          <w:rFonts w:cs="Times New Roman"/>
        </w:rPr>
        <w:lastRenderedPageBreak/>
        <w:t>Sources of Heavy Metals in Cosmetics</w:t>
      </w:r>
      <w:bookmarkEnd w:id="13"/>
      <w:bookmarkEnd w:id="14"/>
      <w:bookmarkEnd w:id="15"/>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The presence of metals in cosmetics can be attributed to multiple sources. A significant pathway for contamination is the use of metal-contaminated plants in cosmetic production, leading to the pollution of herbal-based products. Research indicates that herbs commonly used in the cosmetics industry, especially those cultivated in industrialized regions, frequently exhibit excessive metal contamination </w:t>
      </w:r>
      <w:r>
        <w:rPr>
          <w:rFonts w:ascii="Times New Roman" w:eastAsia="Times New Roman" w:hAnsi="Times New Roman" w:cs="Times New Roman"/>
          <w:color w:val="000000"/>
          <w:sz w:val="24"/>
        </w:rPr>
        <w:t>(Borowska &amp; Brzóska</w:t>
      </w:r>
      <w:r>
        <w:rPr>
          <w:rFonts w:ascii="Times New Roman" w:hAnsi="Times New Roman" w:cs="Times New Roman"/>
          <w:color w:val="000000"/>
        </w:rPr>
        <w:t xml:space="preserve"> et al.,</w:t>
      </w:r>
      <w:r>
        <w:rPr>
          <w:rFonts w:ascii="Times New Roman" w:eastAsia="Times New Roman" w:hAnsi="Times New Roman" w:cs="Times New Roman"/>
          <w:color w:val="000000"/>
          <w:sz w:val="24"/>
        </w:rPr>
        <w:t xml:space="preserve"> 2015)</w:t>
      </w:r>
      <w:r>
        <w:rPr>
          <w:rFonts w:ascii="Times New Roman" w:eastAsia="Times New Roman" w:hAnsi="Times New Roman" w:cs="Times New Roman"/>
          <w:color w:val="0E101A"/>
          <w:sz w:val="24"/>
          <w:szCs w:val="24"/>
        </w:rPr>
        <w:t xml:space="preserve">. </w:t>
      </w:r>
    </w:p>
    <w:p w:rsidR="003451D7" w:rsidRDefault="00715CE0">
      <w:pPr>
        <w:pStyle w:val="Heading2"/>
        <w:rPr>
          <w:rFonts w:cs="Times New Roman"/>
        </w:rPr>
      </w:pPr>
      <w:bookmarkStart w:id="16" w:name="_Toc202990340"/>
      <w:bookmarkStart w:id="17" w:name="_Toc208820380"/>
      <w:bookmarkStart w:id="18" w:name="_Toc202982271"/>
      <w:r>
        <w:rPr>
          <w:rFonts w:cs="Times New Roman"/>
        </w:rPr>
        <w:t>Effects of Heavy Metals</w:t>
      </w:r>
      <w:bookmarkEnd w:id="16"/>
      <w:bookmarkEnd w:id="17"/>
      <w:bookmarkEnd w:id="18"/>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While certain heavy metals, such as chromium VI, zinc, and iron, are essential for various body functions, most, including lead, cadmium, chromium III, and mercury, pose significant health risks. Elevated levels of cadmium have been associated with a range of ailments, including lung cancer and impaired kidney and immune system function. Inhalation of chromium can lead to nosebleeds, respiratory irritation, and shortness of breath </w:t>
      </w:r>
      <w:r>
        <w:rPr>
          <w:rFonts w:ascii="Times New Roman" w:eastAsia="Times New Roman" w:hAnsi="Times New Roman" w:cs="Times New Roman"/>
          <w:color w:val="000000"/>
          <w:sz w:val="24"/>
          <w:szCs w:val="24"/>
        </w:rPr>
        <w:t>(Rasheed et al., 2023)</w:t>
      </w:r>
      <w:r>
        <w:rPr>
          <w:rFonts w:ascii="Times New Roman" w:eastAsia="Times New Roman" w:hAnsi="Times New Roman" w:cs="Times New Roman"/>
          <w:color w:val="0E101A"/>
          <w:sz w:val="24"/>
          <w:szCs w:val="24"/>
        </w:rPr>
        <w:t xml:space="preserve">. Nickel (Ni) is a well-known interaction allergen that frequently causes sensitization, dermatitis, and allergic reactions </w:t>
      </w:r>
      <w:r>
        <w:rPr>
          <w:rFonts w:ascii="Times New Roman" w:eastAsia="Times New Roman" w:hAnsi="Times New Roman" w:cs="Times New Roman"/>
          <w:color w:val="000000"/>
          <w:sz w:val="24"/>
          <w:szCs w:val="24"/>
        </w:rPr>
        <w:t>(Ababneh &amp; Al-Momani</w:t>
      </w:r>
      <w:r>
        <w:rPr>
          <w:rFonts w:ascii="Times New Roman" w:hAnsi="Times New Roman" w:cs="Times New Roman"/>
          <w:color w:val="000000"/>
        </w:rPr>
        <w:t xml:space="preserve"> et al.,</w:t>
      </w:r>
      <w:r>
        <w:rPr>
          <w:rFonts w:ascii="Times New Roman" w:eastAsia="Times New Roman" w:hAnsi="Times New Roman" w:cs="Times New Roman"/>
          <w:color w:val="000000"/>
          <w:sz w:val="24"/>
          <w:szCs w:val="24"/>
        </w:rPr>
        <w:t xml:space="preserve"> 2018)</w:t>
      </w:r>
      <w:r>
        <w:rPr>
          <w:rFonts w:ascii="Times New Roman" w:eastAsia="Times New Roman" w:hAnsi="Times New Roman" w:cs="Times New Roman"/>
          <w:color w:val="0E101A"/>
          <w:sz w:val="24"/>
          <w:szCs w:val="24"/>
        </w:rPr>
        <w:t>.</w:t>
      </w:r>
    </w:p>
    <w:p w:rsidR="003451D7" w:rsidRDefault="00715CE0">
      <w:pPr>
        <w:pStyle w:val="Heading2"/>
        <w:rPr>
          <w:rFonts w:cs="Times New Roman"/>
        </w:rPr>
      </w:pPr>
      <w:bookmarkStart w:id="19" w:name="_Toc202990341"/>
      <w:bookmarkStart w:id="20" w:name="_Toc202982272"/>
      <w:bookmarkStart w:id="21" w:name="_Toc208820381"/>
      <w:r>
        <w:rPr>
          <w:rFonts w:cs="Times New Roman"/>
        </w:rPr>
        <w:t>Toxicity of Lead</w:t>
      </w:r>
      <w:bookmarkEnd w:id="19"/>
      <w:bookmarkEnd w:id="20"/>
      <w:bookmarkEnd w:id="21"/>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Lead is a potent carcinogenic heavy metal with a profound impact on nearly every organ system. High concentrations of lead can result in severe kidney and brain damage, potentially leading to fatality </w:t>
      </w:r>
      <w:r>
        <w:rPr>
          <w:rFonts w:ascii="Times New Roman" w:eastAsia="Times New Roman" w:hAnsi="Times New Roman" w:cs="Times New Roman"/>
          <w:color w:val="000000"/>
          <w:sz w:val="24"/>
          <w:szCs w:val="24"/>
        </w:rPr>
        <w:t>(Wani et al., 2015)</w:t>
      </w:r>
      <w:r>
        <w:rPr>
          <w:rFonts w:ascii="Times New Roman" w:eastAsia="Times New Roman" w:hAnsi="Times New Roman" w:cs="Times New Roman"/>
          <w:color w:val="0E101A"/>
          <w:sz w:val="24"/>
          <w:szCs w:val="24"/>
        </w:rPr>
        <w:t xml:space="preserve">. Furthermore, lead is recognized as hepatotoxic, capable of causing liver damage </w:t>
      </w:r>
      <w:r>
        <w:rPr>
          <w:rFonts w:ascii="Times New Roman" w:eastAsia="Times New Roman" w:hAnsi="Times New Roman" w:cs="Times New Roman"/>
          <w:color w:val="000000"/>
          <w:sz w:val="24"/>
        </w:rPr>
        <w:t>(Attard &amp; Attard</w:t>
      </w:r>
      <w:r>
        <w:rPr>
          <w:rFonts w:ascii="Times New Roman" w:hAnsi="Times New Roman" w:cs="Times New Roman"/>
          <w:color w:val="000000"/>
        </w:rPr>
        <w:t xml:space="preserve"> et al.,</w:t>
      </w:r>
      <w:r>
        <w:rPr>
          <w:rFonts w:ascii="Times New Roman" w:eastAsia="Times New Roman" w:hAnsi="Times New Roman" w:cs="Times New Roman"/>
          <w:color w:val="000000"/>
          <w:sz w:val="24"/>
        </w:rPr>
        <w:t xml:space="preserve"> 2022)</w:t>
      </w:r>
      <w:r>
        <w:rPr>
          <w:rFonts w:ascii="Times New Roman" w:eastAsia="Times New Roman" w:hAnsi="Times New Roman" w:cs="Times New Roman"/>
          <w:color w:val="0E101A"/>
          <w:sz w:val="24"/>
          <w:szCs w:val="24"/>
        </w:rPr>
        <w:t>.</w:t>
      </w:r>
    </w:p>
    <w:p w:rsidR="003451D7" w:rsidRDefault="00715CE0">
      <w:pPr>
        <w:pStyle w:val="Heading2"/>
        <w:rPr>
          <w:rFonts w:cs="Times New Roman"/>
        </w:rPr>
      </w:pPr>
      <w:bookmarkStart w:id="22" w:name="_Toc202990342"/>
      <w:bookmarkStart w:id="23" w:name="_Toc208820382"/>
      <w:bookmarkStart w:id="24" w:name="_Toc202982273"/>
      <w:r>
        <w:rPr>
          <w:rFonts w:cs="Times New Roman"/>
        </w:rPr>
        <w:t>Toxicity of Cadmium</w:t>
      </w:r>
      <w:bookmarkEnd w:id="22"/>
      <w:bookmarkEnd w:id="23"/>
      <w:bookmarkEnd w:id="24"/>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Cadmium and its compounds are classified as carcinogenic. Even low-level, long-term exposure to cadmium can lead to kidney difficulties, respiratory diseases, and weakened bones. Cadmium, lead, and nickel compounds are known toxic metals that disrupt human metabolic activity </w:t>
      </w:r>
      <w:r>
        <w:rPr>
          <w:rFonts w:ascii="Times New Roman" w:eastAsia="Times New Roman" w:hAnsi="Times New Roman" w:cs="Times New Roman"/>
          <w:color w:val="000000"/>
          <w:sz w:val="24"/>
          <w:szCs w:val="24"/>
        </w:rPr>
        <w:t>(Saracoglu</w:t>
      </w:r>
      <w:r>
        <w:rPr>
          <w:rFonts w:ascii="Times New Roman" w:hAnsi="Times New Roman" w:cs="Times New Roman"/>
          <w:color w:val="000000"/>
        </w:rPr>
        <w:t xml:space="preserve"> et al.,</w:t>
      </w:r>
      <w:r>
        <w:rPr>
          <w:rFonts w:ascii="Times New Roman" w:eastAsia="Times New Roman" w:hAnsi="Times New Roman" w:cs="Times New Roman"/>
          <w:color w:val="000000"/>
          <w:sz w:val="24"/>
          <w:szCs w:val="24"/>
        </w:rPr>
        <w:t xml:space="preserve"> 2012)</w:t>
      </w:r>
      <w:r>
        <w:rPr>
          <w:rFonts w:ascii="Times New Roman" w:eastAsia="Times New Roman" w:hAnsi="Times New Roman" w:cs="Times New Roman"/>
          <w:color w:val="0E101A"/>
          <w:sz w:val="24"/>
          <w:szCs w:val="24"/>
        </w:rPr>
        <w:t>.</w:t>
      </w:r>
    </w:p>
    <w:p w:rsidR="003451D7" w:rsidRDefault="003451D7">
      <w:pPr>
        <w:spacing w:before="240" w:line="360" w:lineRule="auto"/>
        <w:jc w:val="both"/>
        <w:rPr>
          <w:rFonts w:ascii="Times New Roman" w:eastAsia="Times New Roman" w:hAnsi="Times New Roman" w:cs="Times New Roman"/>
          <w:color w:val="0E101A"/>
          <w:sz w:val="24"/>
          <w:szCs w:val="24"/>
        </w:rPr>
      </w:pPr>
    </w:p>
    <w:p w:rsidR="003451D7" w:rsidRDefault="00715CE0">
      <w:pPr>
        <w:pStyle w:val="Heading2"/>
        <w:rPr>
          <w:rFonts w:cs="Times New Roman"/>
        </w:rPr>
      </w:pPr>
      <w:bookmarkStart w:id="25" w:name="_Toc208820383"/>
      <w:bookmarkStart w:id="26" w:name="_Toc202990343"/>
      <w:bookmarkStart w:id="27" w:name="_Toc202982274"/>
      <w:r>
        <w:rPr>
          <w:rFonts w:cs="Times New Roman"/>
        </w:rPr>
        <w:lastRenderedPageBreak/>
        <w:t>Toxicity of Chromium</w:t>
      </w:r>
      <w:bookmarkEnd w:id="25"/>
      <w:bookmarkEnd w:id="26"/>
      <w:bookmarkEnd w:id="27"/>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Hexavalent chromium is a confirmed human carcinogen. Exposure to Cr (VI) can cause a range of adverse health effects, together with skin irritation, allergic contact dermatitis, occupational asthma, nasal irritation and ulceration, as well as kidney and liver damage </w:t>
      </w:r>
      <w:r>
        <w:rPr>
          <w:rFonts w:ascii="Times New Roman" w:eastAsia="Times New Roman" w:hAnsi="Times New Roman" w:cs="Times New Roman"/>
          <w:color w:val="000000"/>
          <w:sz w:val="24"/>
          <w:szCs w:val="24"/>
        </w:rPr>
        <w:t>(Dauda</w:t>
      </w:r>
      <w:r>
        <w:rPr>
          <w:rFonts w:ascii="Times New Roman" w:hAnsi="Times New Roman" w:cs="Times New Roman"/>
          <w:color w:val="000000"/>
        </w:rPr>
        <w:t xml:space="preserve"> et al.,</w:t>
      </w:r>
      <w:r>
        <w:rPr>
          <w:rFonts w:ascii="Times New Roman" w:eastAsia="Times New Roman" w:hAnsi="Times New Roman" w:cs="Times New Roman"/>
          <w:color w:val="000000"/>
          <w:sz w:val="24"/>
          <w:szCs w:val="24"/>
        </w:rPr>
        <w:t xml:space="preserve"> 2023)</w:t>
      </w:r>
      <w:r>
        <w:rPr>
          <w:rFonts w:ascii="Times New Roman" w:eastAsia="Times New Roman" w:hAnsi="Times New Roman" w:cs="Times New Roman"/>
          <w:color w:val="0E101A"/>
          <w:sz w:val="24"/>
          <w:szCs w:val="24"/>
        </w:rPr>
        <w:t>.</w:t>
      </w:r>
    </w:p>
    <w:p w:rsidR="003451D7" w:rsidRDefault="00715CE0">
      <w:pPr>
        <w:pStyle w:val="Heading2"/>
        <w:rPr>
          <w:rFonts w:cs="Times New Roman"/>
        </w:rPr>
      </w:pPr>
      <w:bookmarkStart w:id="28" w:name="_Toc202982275"/>
      <w:bookmarkStart w:id="29" w:name="_Toc202990344"/>
      <w:bookmarkStart w:id="30" w:name="_Toc208820384"/>
      <w:r>
        <w:rPr>
          <w:rFonts w:cs="Times New Roman"/>
        </w:rPr>
        <w:t>Toxicity of Copper</w:t>
      </w:r>
      <w:bookmarkEnd w:id="28"/>
      <w:bookmarkEnd w:id="29"/>
      <w:bookmarkEnd w:id="30"/>
    </w:p>
    <w:p w:rsidR="003451D7" w:rsidRDefault="00715CE0">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E101A"/>
          <w:sz w:val="24"/>
          <w:szCs w:val="24"/>
        </w:rPr>
        <w:t xml:space="preserve">Copper is a vital micro nutrient; however, in large amount it can become poisonous. Gastrointestinal problems such as nausea, vomiting, abdominal pains, and diarrhea are frequent to occur due to acute toxicity of CDB. Prolonged exposure may cause liver damage, renal failure and nerve disorders like Wilson disease in susceptible people. Although direct contact to the skin with cosmetics may lead to local irritation, and to certain absorption, major systemic toxicity does not usually result with the use of cosmetics as compared to occupational or oral exposure (Agency for Toxic Substances and Disease Registry </w:t>
      </w:r>
      <w:r>
        <w:rPr>
          <w:rFonts w:ascii="Times New Roman" w:hAnsi="Times New Roman" w:cs="Times New Roman"/>
          <w:color w:val="000000"/>
        </w:rPr>
        <w:t>et al.,</w:t>
      </w:r>
      <w:r>
        <w:rPr>
          <w:rFonts w:ascii="Times New Roman" w:eastAsia="Times New Roman" w:hAnsi="Times New Roman" w:cs="Times New Roman"/>
          <w:color w:val="0E101A"/>
          <w:sz w:val="24"/>
          <w:szCs w:val="24"/>
        </w:rPr>
        <w:t xml:space="preserve"> 2004).</w:t>
      </w:r>
    </w:p>
    <w:p w:rsidR="003451D7" w:rsidRDefault="00715CE0">
      <w:pPr>
        <w:pStyle w:val="Heading2"/>
        <w:rPr>
          <w:rFonts w:cs="Times New Roman"/>
        </w:rPr>
      </w:pPr>
      <w:bookmarkStart w:id="31" w:name="_Toc202990345"/>
      <w:bookmarkStart w:id="32" w:name="_Toc208820385"/>
      <w:bookmarkStart w:id="33" w:name="_Toc202982276"/>
      <w:r>
        <w:rPr>
          <w:rFonts w:cs="Times New Roman"/>
        </w:rPr>
        <w:t>Toxicity of Nickel</w:t>
      </w:r>
      <w:bookmarkEnd w:id="31"/>
      <w:bookmarkEnd w:id="32"/>
      <w:bookmarkEnd w:id="33"/>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Nickel is a prevalent contact allergen and a common cause of allergic contact dermatitis in individuals who are sensitized.</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E101A"/>
          <w:sz w:val="24"/>
          <w:szCs w:val="24"/>
        </w:rPr>
        <w:t xml:space="preserve">Exposure to nickel, often through cosmetic products, can trigger itchy, red, and inflamed skin reactions </w:t>
      </w:r>
      <w:r>
        <w:rPr>
          <w:rFonts w:ascii="Times New Roman" w:eastAsia="Times New Roman" w:hAnsi="Times New Roman" w:cs="Times New Roman"/>
          <w:color w:val="000000"/>
          <w:sz w:val="24"/>
          <w:szCs w:val="24"/>
        </w:rPr>
        <w:t>(Faurschou et al., 2011)</w:t>
      </w:r>
      <w:r>
        <w:rPr>
          <w:rFonts w:ascii="Times New Roman" w:eastAsia="Times New Roman" w:hAnsi="Times New Roman" w:cs="Times New Roman"/>
          <w:color w:val="0E101A"/>
          <w:sz w:val="24"/>
          <w:szCs w:val="24"/>
        </w:rPr>
        <w:t xml:space="preserve">. Beyond dermal sensitization, chronic inhalation of nickel compounds has been associated with an increased risk of respiratory tract cancers </w:t>
      </w:r>
      <w:r>
        <w:rPr>
          <w:rFonts w:ascii="Times New Roman" w:eastAsia="Times New Roman" w:hAnsi="Times New Roman" w:cs="Times New Roman"/>
          <w:color w:val="000000"/>
          <w:sz w:val="24"/>
          <w:szCs w:val="24"/>
        </w:rPr>
        <w:t>(International Agency for Research on Cancer</w:t>
      </w:r>
      <w:r>
        <w:rPr>
          <w:rFonts w:ascii="Times New Roman" w:hAnsi="Times New Roman" w:cs="Times New Roman"/>
          <w:color w:val="000000"/>
        </w:rPr>
        <w:t xml:space="preserve"> et al.,</w:t>
      </w:r>
      <w:r>
        <w:rPr>
          <w:rFonts w:ascii="Times New Roman" w:eastAsia="Times New Roman" w:hAnsi="Times New Roman" w:cs="Times New Roman"/>
          <w:color w:val="000000"/>
          <w:sz w:val="24"/>
          <w:szCs w:val="24"/>
        </w:rPr>
        <w:t xml:space="preserve"> 2012)</w:t>
      </w:r>
      <w:r>
        <w:rPr>
          <w:rFonts w:ascii="Times New Roman" w:eastAsia="Times New Roman" w:hAnsi="Times New Roman" w:cs="Times New Roman"/>
          <w:color w:val="0E101A"/>
          <w:sz w:val="24"/>
          <w:szCs w:val="24"/>
        </w:rPr>
        <w:t xml:space="preserve">. While systemic toxicity from cosmetic dermal exposure is typically low, the allergenic potential of nickel makes its presence in cosmetics a significant concern for individuals who are susceptible to nickel </w:t>
      </w:r>
      <w:r>
        <w:rPr>
          <w:rFonts w:ascii="Times New Roman" w:eastAsia="Times New Roman" w:hAnsi="Times New Roman" w:cs="Times New Roman"/>
          <w:color w:val="000000"/>
          <w:sz w:val="24"/>
        </w:rPr>
        <w:t>(Ababneh &amp; Al-Momani</w:t>
      </w:r>
      <w:r>
        <w:rPr>
          <w:rFonts w:ascii="Times New Roman" w:hAnsi="Times New Roman" w:cs="Times New Roman"/>
          <w:color w:val="000000"/>
        </w:rPr>
        <w:t xml:space="preserve"> et al.,</w:t>
      </w:r>
      <w:r>
        <w:rPr>
          <w:rFonts w:ascii="Times New Roman" w:eastAsia="Times New Roman" w:hAnsi="Times New Roman" w:cs="Times New Roman"/>
          <w:color w:val="000000"/>
          <w:sz w:val="24"/>
        </w:rPr>
        <w:t xml:space="preserve"> 2018)</w:t>
      </w:r>
      <w:r>
        <w:rPr>
          <w:rFonts w:ascii="Times New Roman" w:eastAsia="Times New Roman" w:hAnsi="Times New Roman" w:cs="Times New Roman"/>
          <w:color w:val="0E101A"/>
          <w:sz w:val="24"/>
          <w:szCs w:val="24"/>
        </w:rPr>
        <w:t>.</w:t>
      </w:r>
    </w:p>
    <w:p w:rsidR="003451D7" w:rsidRDefault="00715CE0">
      <w:pPr>
        <w:pStyle w:val="Heading2"/>
        <w:rPr>
          <w:rFonts w:cs="Times New Roman"/>
        </w:rPr>
      </w:pPr>
      <w:bookmarkStart w:id="34" w:name="_Toc202982277"/>
      <w:bookmarkStart w:id="35" w:name="_Toc202990346"/>
      <w:bookmarkStart w:id="36" w:name="_Toc208820386"/>
      <w:r>
        <w:rPr>
          <w:rFonts w:cs="Times New Roman"/>
        </w:rPr>
        <w:t>Steroids in Cosmetics</w:t>
      </w:r>
      <w:bookmarkEnd w:id="34"/>
      <w:bookmarkEnd w:id="35"/>
      <w:bookmarkEnd w:id="36"/>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Since their introduction to dermatology in 1952, topical corticosteroids (TCs) have become widely used for managing inflammatory skin conditions due to their rapid symptom-relieving effects </w:t>
      </w:r>
      <w:r>
        <w:rPr>
          <w:rFonts w:ascii="Times New Roman" w:eastAsia="Times New Roman" w:hAnsi="Times New Roman" w:cs="Times New Roman"/>
          <w:color w:val="000000"/>
          <w:sz w:val="24"/>
          <w:szCs w:val="24"/>
        </w:rPr>
        <w:t>(Alam et al., 2015)</w:t>
      </w:r>
      <w:r>
        <w:rPr>
          <w:rFonts w:ascii="Times New Roman" w:eastAsia="Times New Roman" w:hAnsi="Times New Roman" w:cs="Times New Roman"/>
          <w:color w:val="0E101A"/>
          <w:sz w:val="24"/>
          <w:szCs w:val="24"/>
        </w:rPr>
        <w:t xml:space="preserve">. Betamethasone, a type of corticosteroid, is commonly used to treat conditions such as eczema and localized psoriasis by reducing itching, irritation, and skin flaking. Despite their medical utility, prolonged or inappropriate use of high-potency topical corticosteroids can lead to both local and systemic side effects. Common local reactions include skin thinning </w:t>
      </w:r>
      <w:r>
        <w:rPr>
          <w:rFonts w:ascii="Times New Roman" w:eastAsia="Times New Roman" w:hAnsi="Times New Roman" w:cs="Times New Roman"/>
          <w:color w:val="0E101A"/>
          <w:sz w:val="24"/>
          <w:szCs w:val="24"/>
        </w:rPr>
        <w:lastRenderedPageBreak/>
        <w:t xml:space="preserve">(atrophy), discoloration (hypopigmentation), and increased susceptibility to infections. Systemic effects may involve adrenal suppression, hypertension, diabetes, osteoporosis, and allergic contact dermatitis </w:t>
      </w:r>
      <w:r>
        <w:rPr>
          <w:rFonts w:ascii="Times New Roman" w:eastAsia="Times New Roman" w:hAnsi="Times New Roman" w:cs="Times New Roman"/>
          <w:color w:val="000000"/>
          <w:sz w:val="24"/>
          <w:szCs w:val="24"/>
        </w:rPr>
        <w:t>(Gimeno et al., 2016; Nam et al., 2011)</w:t>
      </w:r>
      <w:r>
        <w:rPr>
          <w:rFonts w:ascii="Times New Roman" w:eastAsia="Times New Roman" w:hAnsi="Times New Roman" w:cs="Times New Roman"/>
          <w:color w:val="0E101A"/>
          <w:sz w:val="24"/>
          <w:szCs w:val="24"/>
        </w:rPr>
        <w:t>.</w:t>
      </w:r>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In dermatological practice, topical corticosteroids are among the most frequently prescribed medications. However, they are often misused in cosmetic products marketed for skin lightening, acne treatment, and general skin improvement </w:t>
      </w:r>
      <w:r>
        <w:rPr>
          <w:rFonts w:ascii="Times New Roman" w:eastAsia="Times New Roman" w:hAnsi="Times New Roman" w:cs="Times New Roman"/>
          <w:color w:val="000000"/>
          <w:sz w:val="24"/>
          <w:szCs w:val="24"/>
        </w:rPr>
        <w:t>(Karekar</w:t>
      </w:r>
      <w:r>
        <w:rPr>
          <w:rFonts w:ascii="Times New Roman" w:hAnsi="Times New Roman" w:cs="Times New Roman"/>
          <w:color w:val="000000"/>
        </w:rPr>
        <w:t xml:space="preserve"> et al.,</w:t>
      </w:r>
      <w:r>
        <w:rPr>
          <w:rFonts w:ascii="Times New Roman" w:eastAsia="Times New Roman" w:hAnsi="Times New Roman" w:cs="Times New Roman"/>
          <w:color w:val="000000"/>
          <w:sz w:val="24"/>
          <w:szCs w:val="24"/>
        </w:rPr>
        <w:t xml:space="preserve"> 2020)</w:t>
      </w:r>
      <w:r>
        <w:rPr>
          <w:rFonts w:ascii="Times New Roman" w:eastAsia="Times New Roman" w:hAnsi="Times New Roman" w:cs="Times New Roman"/>
          <w:color w:val="0E101A"/>
          <w:sz w:val="24"/>
          <w:szCs w:val="24"/>
        </w:rPr>
        <w:t xml:space="preserve">. Their unregulated use in such products poses serious health risks, especially when consumers are unaware of their presence. The long-term application of corticosteroid-containing cosmetics can result in significant skin damage and systemic complications </w:t>
      </w:r>
      <w:r>
        <w:rPr>
          <w:rFonts w:ascii="Times New Roman" w:eastAsia="Times New Roman" w:hAnsi="Times New Roman" w:cs="Times New Roman"/>
          <w:color w:val="000000"/>
          <w:sz w:val="24"/>
        </w:rPr>
        <w:t>(Fiori &amp; Andrisano</w:t>
      </w:r>
      <w:r>
        <w:rPr>
          <w:rFonts w:ascii="Times New Roman" w:hAnsi="Times New Roman" w:cs="Times New Roman"/>
          <w:color w:val="000000"/>
        </w:rPr>
        <w:t xml:space="preserve"> et al.,</w:t>
      </w:r>
      <w:r>
        <w:rPr>
          <w:rFonts w:ascii="Times New Roman" w:eastAsia="Times New Roman" w:hAnsi="Times New Roman" w:cs="Times New Roman"/>
          <w:color w:val="000000"/>
          <w:sz w:val="24"/>
        </w:rPr>
        <w:t xml:space="preserve"> 2014)</w:t>
      </w:r>
      <w:r>
        <w:rPr>
          <w:rFonts w:ascii="Times New Roman" w:eastAsia="Times New Roman" w:hAnsi="Times New Roman" w:cs="Times New Roman"/>
          <w:color w:val="0E101A"/>
          <w:sz w:val="24"/>
          <w:szCs w:val="24"/>
        </w:rPr>
        <w:t>.</w:t>
      </w:r>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Corticosteroids are explicitly banned from use in cosmetic formulations under various regulations. For instance, they are classified as poisons in France (French Regulation 6, Art. L. 5132-CSP, list I) and are listed in Annex II, entry 300, of the EU Cosmetic Regulation 1223/2009, which prohibits their inclusion in cosmetics without obtaining appropriate pharmaceutical authorization </w:t>
      </w:r>
      <w:r>
        <w:rPr>
          <w:rFonts w:ascii="Times New Roman" w:eastAsia="Times New Roman" w:hAnsi="Times New Roman" w:cs="Times New Roman"/>
          <w:color w:val="000000"/>
          <w:sz w:val="24"/>
          <w:szCs w:val="24"/>
        </w:rPr>
        <w:t>(Gimeno et al., 2016)</w:t>
      </w:r>
      <w:r>
        <w:rPr>
          <w:rFonts w:ascii="Times New Roman" w:eastAsia="Times New Roman" w:hAnsi="Times New Roman" w:cs="Times New Roman"/>
          <w:color w:val="0E101A"/>
          <w:sz w:val="24"/>
          <w:szCs w:val="24"/>
        </w:rPr>
        <w:t xml:space="preserve">. These substances act by suppressing inflammation and melanocyte activity, leading to temporary skin lightening through vasoconstriction, reduced cell turnover, and inhibition of melanin production. However, when absorbed through the skin, especially with prolonged or high-dose exposure, they may cause severe systemic conditions such as Cushing’s syndrome and adrenal suppression, along with local issues like acne, dermatitis, excessive hair growth (hypertrichosis), and infections </w:t>
      </w:r>
      <w:r>
        <w:rPr>
          <w:rFonts w:ascii="Times New Roman" w:eastAsia="Times New Roman" w:hAnsi="Times New Roman" w:cs="Times New Roman"/>
          <w:color w:val="000000"/>
          <w:sz w:val="24"/>
          <w:szCs w:val="24"/>
        </w:rPr>
        <w:t>(Giaccone</w:t>
      </w:r>
      <w:r>
        <w:rPr>
          <w:rFonts w:ascii="Times New Roman" w:hAnsi="Times New Roman" w:cs="Times New Roman"/>
          <w:color w:val="000000"/>
        </w:rPr>
        <w:t xml:space="preserve"> et al.,</w:t>
      </w:r>
      <w:r>
        <w:rPr>
          <w:rFonts w:ascii="Times New Roman" w:eastAsia="Times New Roman" w:hAnsi="Times New Roman" w:cs="Times New Roman"/>
          <w:color w:val="000000"/>
          <w:sz w:val="24"/>
          <w:szCs w:val="24"/>
        </w:rPr>
        <w:t xml:space="preserve"> 2017; Gimeno et al., 2016)</w:t>
      </w:r>
      <w:r>
        <w:rPr>
          <w:rFonts w:ascii="Times New Roman" w:eastAsia="Times New Roman" w:hAnsi="Times New Roman" w:cs="Times New Roman"/>
          <w:color w:val="0E101A"/>
          <w:sz w:val="24"/>
          <w:szCs w:val="24"/>
        </w:rPr>
        <w:t>.</w:t>
      </w:r>
    </w:p>
    <w:p w:rsidR="003451D7" w:rsidRDefault="00715CE0">
      <w:pPr>
        <w:pStyle w:val="Heading3"/>
        <w:rPr>
          <w:rFonts w:cs="Times New Roman"/>
          <w:i w:val="0"/>
        </w:rPr>
      </w:pPr>
      <w:bookmarkStart w:id="37" w:name="_Toc202982278"/>
      <w:bookmarkStart w:id="38" w:name="_Toc208820387"/>
      <w:bookmarkStart w:id="39" w:name="_Toc202990347"/>
      <w:r>
        <w:rPr>
          <w:rFonts w:cs="Times New Roman"/>
          <w:i w:val="0"/>
        </w:rPr>
        <w:t>Effects of Betamethasone</w:t>
      </w:r>
      <w:bookmarkEnd w:id="37"/>
      <w:bookmarkEnd w:id="38"/>
      <w:bookmarkEnd w:id="39"/>
    </w:p>
    <w:p w:rsidR="003451D7" w:rsidRDefault="00CB5CEC">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Betamethasone is</w:t>
      </w:r>
      <w:r w:rsidR="00715CE0">
        <w:rPr>
          <w:rFonts w:ascii="Times New Roman" w:eastAsia="Times New Roman" w:hAnsi="Times New Roman" w:cs="Times New Roman"/>
          <w:color w:val="0E101A"/>
          <w:sz w:val="24"/>
          <w:szCs w:val="24"/>
        </w:rPr>
        <w:t xml:space="preserve"> a potent synthetic corticosteroid, </w:t>
      </w:r>
      <w:r>
        <w:rPr>
          <w:rFonts w:ascii="Times New Roman" w:eastAsia="Times New Roman" w:hAnsi="Times New Roman" w:cs="Times New Roman"/>
          <w:color w:val="0E101A"/>
          <w:sz w:val="24"/>
          <w:szCs w:val="24"/>
        </w:rPr>
        <w:t xml:space="preserve">that </w:t>
      </w:r>
      <w:r w:rsidR="00715CE0">
        <w:rPr>
          <w:rFonts w:ascii="Times New Roman" w:eastAsia="Times New Roman" w:hAnsi="Times New Roman" w:cs="Times New Roman"/>
          <w:color w:val="0E101A"/>
          <w:sz w:val="24"/>
          <w:szCs w:val="24"/>
        </w:rPr>
        <w:t xml:space="preserve">is medically used in topical formulations for a range of skin conditions due to its anti-inflammatory and immunosuppressive properties. However, its illegal presence in cosmetic products, where it is strictly banned, poses significant health hazards </w:t>
      </w:r>
      <w:r w:rsidR="00715CE0">
        <w:rPr>
          <w:rFonts w:ascii="Times New Roman" w:eastAsia="Times New Roman" w:hAnsi="Times New Roman" w:cs="Times New Roman"/>
          <w:color w:val="000000"/>
          <w:sz w:val="24"/>
          <w:szCs w:val="24"/>
        </w:rPr>
        <w:t>(Fiori &amp; Andrisano</w:t>
      </w:r>
      <w:r w:rsidR="00715CE0">
        <w:rPr>
          <w:rFonts w:ascii="Times New Roman" w:hAnsi="Times New Roman" w:cs="Times New Roman"/>
          <w:color w:val="000000"/>
        </w:rPr>
        <w:t xml:space="preserve"> et al.,</w:t>
      </w:r>
      <w:r w:rsidR="00715CE0">
        <w:rPr>
          <w:rFonts w:ascii="Times New Roman" w:eastAsia="Times New Roman" w:hAnsi="Times New Roman" w:cs="Times New Roman"/>
          <w:color w:val="000000"/>
          <w:sz w:val="24"/>
          <w:szCs w:val="24"/>
        </w:rPr>
        <w:t xml:space="preserve"> 2014)</w:t>
      </w:r>
      <w:r w:rsidR="00715CE0">
        <w:rPr>
          <w:rFonts w:ascii="Times New Roman" w:eastAsia="Times New Roman" w:hAnsi="Times New Roman" w:cs="Times New Roman"/>
          <w:color w:val="0E101A"/>
          <w:sz w:val="24"/>
          <w:szCs w:val="24"/>
        </w:rPr>
        <w:t>. Prolonged or inappropriate use of betamethasone-containing cosmetics can lead to severe local skin side effects, including skin atrophy (thinning), striae, and increased susceptibility to fungal and bacterial infections</w:t>
      </w:r>
      <w:r w:rsidR="00715CE0">
        <w:rPr>
          <w:rFonts w:ascii="Times New Roman" w:eastAsia="Times New Roman" w:hAnsi="Times New Roman" w:cs="Times New Roman"/>
          <w:color w:val="FF0000"/>
          <w:sz w:val="24"/>
          <w:szCs w:val="24"/>
        </w:rPr>
        <w:t xml:space="preserve"> </w:t>
      </w:r>
      <w:r w:rsidR="00715CE0">
        <w:rPr>
          <w:rFonts w:ascii="Times New Roman" w:eastAsia="Times New Roman" w:hAnsi="Times New Roman" w:cs="Times New Roman"/>
          <w:color w:val="000000"/>
          <w:sz w:val="24"/>
          <w:szCs w:val="24"/>
        </w:rPr>
        <w:t>(Nam et al., 2011)</w:t>
      </w:r>
      <w:r w:rsidR="00715CE0">
        <w:rPr>
          <w:rFonts w:ascii="Times New Roman" w:eastAsia="Times New Roman" w:hAnsi="Times New Roman" w:cs="Times New Roman"/>
          <w:color w:val="0E101A"/>
          <w:sz w:val="24"/>
          <w:szCs w:val="24"/>
        </w:rPr>
        <w:t>.</w:t>
      </w:r>
    </w:p>
    <w:p w:rsidR="003451D7" w:rsidRDefault="003451D7">
      <w:pPr>
        <w:spacing w:before="240" w:line="360" w:lineRule="auto"/>
        <w:jc w:val="both"/>
        <w:rPr>
          <w:rFonts w:ascii="Times New Roman" w:eastAsia="Times New Roman" w:hAnsi="Times New Roman" w:cs="Times New Roman"/>
          <w:color w:val="0E101A"/>
          <w:sz w:val="24"/>
          <w:szCs w:val="24"/>
        </w:rPr>
      </w:pPr>
    </w:p>
    <w:p w:rsidR="003451D7" w:rsidRDefault="00715CE0">
      <w:pPr>
        <w:pStyle w:val="Heading3"/>
        <w:rPr>
          <w:rFonts w:cs="Times New Roman"/>
          <w:i w:val="0"/>
        </w:rPr>
      </w:pPr>
      <w:bookmarkStart w:id="40" w:name="_Toc202990348"/>
      <w:bookmarkStart w:id="41" w:name="_Toc208820388"/>
      <w:bookmarkStart w:id="42" w:name="_Toc202982279"/>
      <w:r>
        <w:rPr>
          <w:rFonts w:cs="Times New Roman"/>
          <w:i w:val="0"/>
        </w:rPr>
        <w:lastRenderedPageBreak/>
        <w:t>Effects of Hydrocortisone</w:t>
      </w:r>
      <w:bookmarkEnd w:id="40"/>
      <w:bookmarkEnd w:id="41"/>
      <w:bookmarkEnd w:id="42"/>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Hydrocortisone is a low-potency corticosteroid commonly used in over-the-counter and prescription topical formulations to alleviate inflammation, itching, and redness associated with various skin conditions, including eczema, dermatitis, and insect bites. While generally safer than high-potency corticosteroids for short-term use, its misuse or prolonged application, notably when illegally incorporated into cosmetics, can still lead to adverse effects </w:t>
      </w:r>
      <w:r>
        <w:rPr>
          <w:rFonts w:ascii="Times New Roman" w:eastAsia="Times New Roman" w:hAnsi="Times New Roman" w:cs="Times New Roman"/>
          <w:color w:val="000000"/>
          <w:sz w:val="24"/>
        </w:rPr>
        <w:t>(Ference &amp; Last</w:t>
      </w:r>
      <w:r>
        <w:rPr>
          <w:rFonts w:ascii="Times New Roman" w:hAnsi="Times New Roman" w:cs="Times New Roman"/>
          <w:color w:val="000000"/>
        </w:rPr>
        <w:t xml:space="preserve"> et al.,</w:t>
      </w:r>
      <w:r>
        <w:rPr>
          <w:rFonts w:ascii="Times New Roman" w:eastAsia="Times New Roman" w:hAnsi="Times New Roman" w:cs="Times New Roman"/>
          <w:color w:val="000000"/>
          <w:sz w:val="24"/>
        </w:rPr>
        <w:t xml:space="preserve"> 2009)</w:t>
      </w:r>
      <w:r>
        <w:rPr>
          <w:rFonts w:ascii="Times New Roman" w:eastAsia="Times New Roman" w:hAnsi="Times New Roman" w:cs="Times New Roman"/>
          <w:color w:val="0E101A"/>
          <w:sz w:val="24"/>
          <w:szCs w:val="24"/>
        </w:rPr>
        <w:t>. Local side effects may include skin thinning and striae, particularly with prolonged use. Cosmetics with hydrocortisone that are not used to treat medical conditions but rather used cosmetically, e.g. to lighten skin, can cause dermatological and systemic problems to the consumer who is not properly advised by a doctor, due to their lack of awareness of the risks.</w:t>
      </w:r>
    </w:p>
    <w:p w:rsidR="003451D7" w:rsidRDefault="00715CE0">
      <w:pPr>
        <w:pStyle w:val="Heading2"/>
        <w:rPr>
          <w:rFonts w:cs="Times New Roman"/>
        </w:rPr>
      </w:pPr>
      <w:bookmarkStart w:id="43" w:name="_Toc202990350"/>
      <w:bookmarkStart w:id="44" w:name="_Toc202982281"/>
      <w:bookmarkStart w:id="45" w:name="_Toc208820389"/>
      <w:r>
        <w:rPr>
          <w:rFonts w:cs="Times New Roman"/>
        </w:rPr>
        <w:t>Health Risk</w:t>
      </w:r>
      <w:bookmarkEnd w:id="43"/>
      <w:bookmarkEnd w:id="44"/>
      <w:r>
        <w:rPr>
          <w:rFonts w:cs="Times New Roman"/>
        </w:rPr>
        <w:t xml:space="preserve"> Assessment</w:t>
      </w:r>
      <w:bookmarkEnd w:id="45"/>
    </w:p>
    <w:p w:rsidR="003451D7" w:rsidRDefault="00715CE0">
      <w:pPr>
        <w:spacing w:before="240" w:line="360" w:lineRule="auto"/>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Presence of toxic chemicals, such as heavy metal and prohibited steroids, in cosmetic products endangers the health of consumers. In order to measure these risks, toxicological evaluations typically use an additional measure besides the Hazard Quotient (HQ), the Chronic Daily Intake (CDI). CDI is a measure of the exposure to a substance per day after a long time and usually is estimated using the concentration of the pollutant in the cosmetic product, amount of product applied and the number of times in the day it is applied with consideration of the body weight and the duration of the exposure (US EPA et al., 1989).</w:t>
      </w:r>
    </w:p>
    <w:p w:rsidR="003451D7" w:rsidRDefault="00715CE0">
      <w:pPr>
        <w:spacing w:before="240" w:line="360" w:lineRule="auto"/>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When the CDI is established, Hazard quotient (HQ) is determined through comparison of CDI and reference dose (RfD) of non-carcinogenic effects (US EPA et al., 1989). Reference Dose (RfD) is an indication of an estimate of the daily dose of a chemical that an individual is expected to be exposed to and which may not pose any significant risk of adverse effects during life.</w:t>
      </w:r>
    </w:p>
    <w:p w:rsidR="003451D7" w:rsidRDefault="00715CE0">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The Hazard Quotient greater than one, means that the exposure is more than what is considered as safe reference dose and thus, poses a risk of adverse health effects and requires additional inquiry and risk control. On the other hand, an HQ of 1 or below tends to show that the exposure is not likely to show any negative health outcomes (US EPA et al., 1989). The calculations are vital in evaluating the non-carcinogenic health effects of chronic exposure to contaminants in cosmetic and formulating regulatory decisions to protect the health of the population.</w:t>
      </w:r>
    </w:p>
    <w:p w:rsidR="003451D7" w:rsidRDefault="003451D7">
      <w:pPr>
        <w:spacing w:before="240" w:line="360" w:lineRule="auto"/>
        <w:jc w:val="both"/>
        <w:rPr>
          <w:rFonts w:ascii="Times New Roman" w:eastAsia="Times New Roman" w:hAnsi="Times New Roman" w:cs="Times New Roman"/>
          <w:color w:val="0E101A"/>
          <w:sz w:val="24"/>
          <w:szCs w:val="24"/>
        </w:rPr>
      </w:pPr>
    </w:p>
    <w:p w:rsidR="003451D7" w:rsidRDefault="00715CE0">
      <w:pPr>
        <w:pStyle w:val="Heading2"/>
        <w:rPr>
          <w:rFonts w:cs="Times New Roman"/>
        </w:rPr>
      </w:pPr>
      <w:bookmarkStart w:id="46" w:name="_Toc202982282"/>
      <w:bookmarkStart w:id="47" w:name="_Toc202990351"/>
      <w:bookmarkStart w:id="48" w:name="_Toc208820390"/>
      <w:r>
        <w:rPr>
          <w:rFonts w:cs="Times New Roman"/>
        </w:rPr>
        <w:t>Research Questions</w:t>
      </w:r>
      <w:bookmarkEnd w:id="46"/>
      <w:bookmarkEnd w:id="47"/>
      <w:bookmarkEnd w:id="48"/>
    </w:p>
    <w:p w:rsidR="00541460" w:rsidRDefault="00541460" w:rsidP="00541460">
      <w:pPr>
        <w:pStyle w:val="ListParagraph"/>
        <w:numPr>
          <w:ilvl w:val="0"/>
          <w:numId w:val="2"/>
        </w:numPr>
        <w:spacing w:before="240" w:line="360" w:lineRule="auto"/>
        <w:jc w:val="both"/>
        <w:rPr>
          <w:rFonts w:ascii="Times New Roman" w:eastAsia="Times New Roman" w:hAnsi="Times New Roman" w:cs="Times New Roman"/>
          <w:color w:val="0E101A"/>
          <w:sz w:val="24"/>
          <w:szCs w:val="24"/>
        </w:rPr>
      </w:pPr>
      <w:r w:rsidRPr="00541460">
        <w:rPr>
          <w:rFonts w:ascii="Times New Roman" w:eastAsia="Times New Roman" w:hAnsi="Times New Roman" w:cs="Times New Roman"/>
          <w:color w:val="0E101A"/>
          <w:sz w:val="24"/>
          <w:szCs w:val="24"/>
        </w:rPr>
        <w:t>To what extent do the concentrations of heavy metals (Cd, Cr, Cu, Ni, Pb) and steroids in locally marketed face wash products in Pakistan comply with international safety standards?</w:t>
      </w:r>
    </w:p>
    <w:p w:rsidR="003451D7" w:rsidRDefault="00715CE0">
      <w:pPr>
        <w:pStyle w:val="ListParagraph"/>
        <w:numPr>
          <w:ilvl w:val="0"/>
          <w:numId w:val="2"/>
        </w:num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What are the potential health risks associated with the use of face wash containing these substances?</w:t>
      </w:r>
    </w:p>
    <w:p w:rsidR="003451D7" w:rsidRDefault="00715CE0">
      <w:pPr>
        <w:pStyle w:val="ListParagraph"/>
        <w:numPr>
          <w:ilvl w:val="0"/>
          <w:numId w:val="2"/>
        </w:num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How do these cosmetic products impact the environment? </w:t>
      </w:r>
    </w:p>
    <w:p w:rsidR="003451D7" w:rsidRDefault="00715CE0">
      <w:pPr>
        <w:pStyle w:val="ListParagraph"/>
        <w:numPr>
          <w:ilvl w:val="0"/>
          <w:numId w:val="2"/>
        </w:numPr>
        <w:spacing w:before="240"/>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What measures can be taken to improve the cosmetics regulation in Pakistan?</w:t>
      </w:r>
    </w:p>
    <w:p w:rsidR="003451D7" w:rsidRDefault="00715CE0">
      <w:pPr>
        <w:spacing w:before="240" w:line="360" w:lineRule="auto"/>
        <w:rPr>
          <w:rFonts w:ascii="Times New Roman" w:hAnsi="Times New Roman" w:cs="Times New Roman"/>
          <w:sz w:val="24"/>
          <w:szCs w:val="24"/>
        </w:rPr>
      </w:pPr>
      <w:r>
        <w:rPr>
          <w:rFonts w:ascii="Times New Roman" w:hAnsi="Times New Roman" w:cs="Times New Roman"/>
          <w:sz w:val="24"/>
          <w:szCs w:val="24"/>
        </w:rPr>
        <w:br w:type="page"/>
      </w:r>
    </w:p>
    <w:p w:rsidR="003451D7" w:rsidRDefault="00715CE0">
      <w:pPr>
        <w:jc w:val="right"/>
        <w:rPr>
          <w:rFonts w:ascii="Times New Roman" w:hAnsi="Times New Roman" w:cs="Times New Roman"/>
          <w:bCs/>
          <w:szCs w:val="32"/>
        </w:rPr>
      </w:pPr>
      <w:r>
        <w:rPr>
          <w:rFonts w:ascii="Times New Roman" w:hAnsi="Times New Roman" w:cs="Times New Roman"/>
          <w:b/>
          <w:bCs/>
          <w:sz w:val="32"/>
          <w:szCs w:val="32"/>
        </w:rPr>
        <w:lastRenderedPageBreak/>
        <w:t>Chapter 2</w:t>
      </w:r>
    </w:p>
    <w:p w:rsidR="003451D7" w:rsidRDefault="00715CE0">
      <w:pPr>
        <w:pStyle w:val="Heading1"/>
        <w:rPr>
          <w:rFonts w:cs="Times New Roman"/>
        </w:rPr>
      </w:pPr>
      <w:bookmarkStart w:id="49" w:name="_Toc208820391"/>
      <w:bookmarkStart w:id="50" w:name="_Toc202982283"/>
      <w:bookmarkStart w:id="51" w:name="_Toc202990352"/>
      <w:r>
        <w:rPr>
          <w:rFonts w:cs="Times New Roman"/>
        </w:rPr>
        <w:t>Literature Review</w:t>
      </w:r>
      <w:bookmarkEnd w:id="49"/>
      <w:bookmarkEnd w:id="50"/>
      <w:bookmarkEnd w:id="51"/>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heavy metal content of a variety of cosmetic products sold in Pakistan, such as lotions, whitening creams, lipsticks, and sunscreen, was thoroughly examined by </w:t>
      </w:r>
      <w:r>
        <w:rPr>
          <w:rFonts w:ascii="Times New Roman" w:hAnsi="Times New Roman" w:cs="Times New Roman"/>
          <w:color w:val="000000"/>
          <w:sz w:val="24"/>
          <w:szCs w:val="24"/>
        </w:rPr>
        <w:t>(Arshad et al., 2020)</w:t>
      </w:r>
      <w:r>
        <w:rPr>
          <w:rFonts w:ascii="Times New Roman" w:hAnsi="Times New Roman" w:cs="Times New Roman"/>
          <w:sz w:val="24"/>
          <w:szCs w:val="24"/>
        </w:rPr>
        <w:t xml:space="preserve">. The study found that lipsticks had high levels of iron, while lotions and sunblock had higher concentrations of nickel and lead. Furthermore, the LCR values for the majority of products (except lipsticks) were higher than acceptable limits, suggesting that prolonged use may cause cancer. The authors emphasized the need for stricter regulations and constant monitoring to reduce heavy metal contamination in cosmetics. Using ICP-OES, </w:t>
      </w:r>
      <w:r>
        <w:rPr>
          <w:rFonts w:ascii="Times New Roman" w:hAnsi="Times New Roman" w:cs="Times New Roman"/>
          <w:color w:val="000000"/>
          <w:sz w:val="24"/>
          <w:szCs w:val="24"/>
        </w:rPr>
        <w:t>(Dinake et al., 2023)</w:t>
      </w:r>
      <w:r>
        <w:rPr>
          <w:rFonts w:ascii="Times New Roman" w:hAnsi="Times New Roman" w:cs="Times New Roman"/>
          <w:sz w:val="24"/>
          <w:szCs w:val="24"/>
        </w:rPr>
        <w:t xml:space="preserve"> examined harmful heavy metals (Pb, Ni, Cr, and As) in imported skin-lightening cosmetics marketed in Botswana.  The values of hazard quotient (HQ) were significantly greater than 1 and represented severe health hazards and Pb concentrations in all samples exceeded US FDA safety limits. In the specific case, the study has reported Pb and Cr as potential systemic and dermal toxicity, which may affect the nervous system, reproduction. </w:t>
      </w: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atomic absorption spectroscopy method was applied in this study to determine the level of Pb, Cr, Mn, Zn, Cu, and Fe in the local or even the global cosmetics accessible in Quetta, Pakistan. The results of this research demonstrated that the concentration of the Mn, Zn, Cr and Cu was quite elevated. The authors of this study have associated these contaminants to various health complications which include systemic toxicity, allergies and dermatitis. They expressed concern regarding to adulteration and incomplete labelling in the domestic markets that permit free flow of low-quality products. It found that these products are of spurious nature and it requires consideration since the developing countries are struggling to produce quality cosmetics (Rasheed et al., 2023).</w:t>
      </w: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Yebpella et al., (2014) studied the presence of trace metal, including Zn, Cr, Co, Cd, Mn, Pb, and Ni in imported cosmetics in Nigeria. They evaluated that most of the metal concentrations were within acceptable limits, a risk remains a possibility in the long-term exposure to Pb and Cd in particular. They are neurotoxins and endocrine disruptors that are able to bioaccumulate in body. The study emphasized the need to monitor the issue regularly and questioned the cumulative exposure even when the exposure is at an acceptable level. The toxic heavy metals namely Pb, </w:t>
      </w:r>
      <w:r>
        <w:rPr>
          <w:rFonts w:ascii="Times New Roman" w:hAnsi="Times New Roman" w:cs="Times New Roman"/>
          <w:sz w:val="24"/>
          <w:szCs w:val="24"/>
        </w:rPr>
        <w:lastRenderedPageBreak/>
        <w:t>cadmium (Cd), chromium (Cr), and mercury (Hg) are common in beauty creams in Bangladesh. The results of the analytical efforts showed that the amounts of Pb and Cd in some of the products were relatively high than the maximum permissible levels which showed health concern. Combining hazard quotient (HQ) and chronic daily intake (CDI), the study revealed that though the metals have low potential of acute cancer risk, the exposure of the metals is likely to increase daily which can result in drastic health effects after some time. It was noted that the skin is the primary means of exposure and such incidences ought to be closely monitored as regards regulation (Alam et al., 2019).</w:t>
      </w:r>
    </w:p>
    <w:p w:rsidR="003451D7" w:rsidRDefault="00715CE0">
      <w:pPr>
        <w:spacing w:before="240" w:line="360" w:lineRule="auto"/>
        <w:jc w:val="both"/>
      </w:pPr>
      <w:r>
        <w:rPr>
          <w:rFonts w:ascii="Times New Roman" w:hAnsi="Times New Roman" w:cs="Times New Roman"/>
          <w:sz w:val="24"/>
          <w:szCs w:val="24"/>
        </w:rPr>
        <w:t>Ababneh and Al-Momani et al. (2018) carried out the study of nickel (Ni), cadmium (Cd), lead (Pb), and mercury (Hg) four harmful heavy metal levels in hair care and skin care products as well as lip products. They tested 112 Jordanian products that were commercially available to people. In their results, they found that 73.2 percentage of the samples were positive to Pb and 25.9 percent to Hg. Ni (92.8%) and Cd (76.7%) on the other hand were of alarming levels. The amount of mercury in skin-lightening creams was too high in some cases which was above the international safety limits. Among the products, it is important to note that 8 percent contained more than the recommended limit of metals in the product, and it was a severe risk of toxic exposure. The study results determined that high consumption of such products can result in a systematic health issue related to dermal absorption and bioaccumulation. A relative analysis of heavy metals in cosmetics available in the Khyber Pakhtunkhwa province of Pakistan was carried out by (Ullah et al., 2017). Their testing of 15 locally produced as well as imported products revealed exceptionally high concentrations of Pb (mean of 141.8 1g), high concentrations of Cu, Fe and Zn. The study also brought to question such products being sold with false brand names, and this may result in uncontrolled products being sold in the market, which may be harmful. Prolonged exposure on such substances has been advised to be detrimental to the environment and human health</w:t>
      </w:r>
      <w:r>
        <w:t>.</w:t>
      </w:r>
    </w:p>
    <w:p w:rsidR="003451D7" w:rsidRDefault="00715CE0">
      <w:pPr>
        <w:pStyle w:val="NormalWeb"/>
        <w:spacing w:before="240" w:line="360" w:lineRule="auto"/>
        <w:jc w:val="both"/>
      </w:pPr>
      <w:r>
        <w:t xml:space="preserve">The environmental effects of chemical ingredients used in cosmetics, especially those classified as chemicals of emerging concern (CECs) like parabens, triclosan, and nano-sized metal oxides like zinc oxide in addition titanium dioxide, were investigated in this study by </w:t>
      </w:r>
      <w:r>
        <w:rPr>
          <w:color w:val="000000"/>
        </w:rPr>
        <w:t>(Dhanirama et al., 2012)</w:t>
      </w:r>
      <w:r>
        <w:t xml:space="preserve">. Due to their persistent and bio-accumulative pathways, these substances contribute to environmental toxicity. Many of these compounds are also endocrine disruptors, and the study highlighted the lack of legislative attention to their ecological effects. In this study, </w:t>
      </w:r>
      <w:r>
        <w:rPr>
          <w:color w:val="000000"/>
        </w:rPr>
        <w:t xml:space="preserve">(Salve &amp; </w:t>
      </w:r>
      <w:r>
        <w:rPr>
          <w:color w:val="000000"/>
        </w:rPr>
        <w:lastRenderedPageBreak/>
        <w:t>Sonwane, 2015)</w:t>
      </w:r>
      <w:r>
        <w:t xml:space="preserve"> analyzed the concentrations of Pb and Cd in a variety of cosmetic products sold in Aurangabad, India. Facewash samples exhibited concerning levels of lead, with some as high as 27.05 µg/g, while cadmium levels varied but were often detectable. Lipsticks had the highest concentration of lead but face wash had a high level of contamination as well. The authors have blamed the existence of the heavy metals on ineffective manufacturing procedures and also contamination of raw materials. They discovered that facewash although safe and washed off may also be a cause of dermal toxicity through repetitive exposures.</w:t>
      </w:r>
    </w:p>
    <w:p w:rsidR="003451D7" w:rsidRDefault="00715CE0">
      <w:pPr>
        <w:pStyle w:val="NormalWeb"/>
        <w:spacing w:before="240" w:line="360" w:lineRule="auto"/>
        <w:jc w:val="both"/>
      </w:pPr>
      <w:r>
        <w:t xml:space="preserve">In one of the studies in Nigeria, the heavy metal concentration such as lead (Pb), cadmium (Cd), chromium (Cr), and nickel (Ni) in different cosmetic products was established. The results indicated that majority of the samples especially those that contained lead and cadmium were above the permitted limit set by the regulatory means. According to the study, long-term use of these products indicates a significant health risk, including the potential for neurotoxic and carcinogenic effects. Moreover, the availability of these metals was related to unregulated marketing and insufficient manufacturing controls. The results emphasized the need of stringent laws and constant monitoring of the consumers to ensure their safety since it is reported by (Nasirudeen &amp; Amaechi et al., 2015). In the current paper, the concentration of lead (Pb), mercury (Hg), cadmium (Cd), and arsenic (As) was measured in the frequently used cosmetic products in Jordan. The research that was carried out, through an atomic absorption spectrophotometry, discovered that the concentration of metals exceeded the allowable limit in products like skin lighteners and creams. The issue with the cumulative exposure to the skin appeared as a result of the lead and mercury occurrence. The authors emphasize the fact that such metals are very likely to occur in the form of impurities either in raw materials or during the process of production and not as the purposely inserted one. The conclusion referred to the potential long-term health risks of daily use of cosmetics and recommended to enhance the quality control (Massadeh et al., 2017). Health has been very concerned with the use of cosmetic products containing heavy metals since the matter has been proved by various studies. It has been revealed that continuous contact with these toxic chemicals like lead, cadmium, and congenital arsenic can lead to skin illness, harm of organs, and also carcinogenic impact. The research conducted globally has been pointing towards varied concentrations of heavy metals that are in most occasions higher than the safety levels. It has been mentioned that in the light of protecting the health of the consumers, scholars have </w:t>
      </w:r>
      <w:r>
        <w:lastRenderedPageBreak/>
        <w:t>emphasized on the need of regulatory intervention and continuous observation. Other than that, dermal absorption of these metals is particularly disturbing bearing in mind that cosmetics are applied on a daily basis. The lack of the high labeling standards has been witnessed before, and it has not enabled customers to know of the potential hazards (Ghaderpoori et al., 2020).</w:t>
      </w:r>
    </w:p>
    <w:p w:rsidR="003451D7" w:rsidRDefault="00715CE0">
      <w:pPr>
        <w:pStyle w:val="NormalWeb"/>
        <w:spacing w:before="240" w:line="360" w:lineRule="auto"/>
        <w:jc w:val="both"/>
      </w:pPr>
      <w:r>
        <w:t>The paper provides detailed description of how toxic heavy metals in most cosmetic products have been in the ascendency attributing the pollution to weak controls and poor quality of production. It shows that the cosmetic products that have kajal, lipsticks and creams in the skin usually contain metals like lead (Pb), cadmium (Cd), arsenic (As) and mercury (Hg) amongst others like cobalt (Co) and chromium (Cr). In the paper, the significant health effects are noted as endocrine disruption, neurotoxicity, contact dermatitis, and reproductive toxicity. It is especially bad that the fact that combined traces of lead in the traditional cosmetics, such as sindoor and surma, have very toxic levels, has been found out. The levels of safety are already present in the developed areas; however, the low-income countries mostly the South Asian countries lack proper monitoring and control. The study shows that the unregulated practice of using heavy metals in the cosmetics industry poses a huge risk to the health of the population, and they should pay closer attention to the fact that better laws are established and people gain knowledge about them (Kader Mohiuddin et al., 2019).</w:t>
      </w:r>
    </w:p>
    <w:p w:rsidR="003451D7" w:rsidRDefault="00715CE0">
      <w:pPr>
        <w:pStyle w:val="NormalWeb"/>
        <w:spacing w:before="240" w:line="360" w:lineRule="auto"/>
        <w:jc w:val="both"/>
      </w:pPr>
      <w:r>
        <w:t>The current study is a clear analysis of the concentration of heavy metals in herb-based and synthetic face wash products in Bangladesh market. It was discovered that the number of the samples which were analyzed by the method of atomic absorption spectrophotometry was 32 and it was discovered that there was iron, lead, chromium, copper, zinc, manganese and traces of cadmium and nickel. Particular attention was paid to herbal samples with the lead concentration up to 28.13 ppm and iron up to 1358.46 ppm, which, in particular, is much higher than the maximum permitted concentration. Chromium and zinc were also found to be in high contents in some of the products by the research. Majority of the synthetic facewashes were seen to fall within the safety levels of WHO but most of the herbal forms exceeded the safety levels. The outlined findings indicate the potential dangers of the long-time consumption of the face wash products contaminated and underlines the importance of a high level of quality regulation in the manufacture of cosmetics, even such one that can be called the so-called natural lines (Morshed, 2017).</w:t>
      </w:r>
    </w:p>
    <w:p w:rsidR="003451D7" w:rsidRDefault="00715CE0">
      <w:pPr>
        <w:pStyle w:val="NormalWeb"/>
        <w:spacing w:before="240" w:line="360" w:lineRule="auto"/>
        <w:jc w:val="both"/>
      </w:pPr>
      <w:r>
        <w:lastRenderedPageBreak/>
        <w:t>Focusing on the lipsticks, the Brazilian research analyzed various legal and illegal cosmetic products to make them perform on the hazardous metals like lead, cadmium, mercury, arsenic, and chromium. The findings showed that most of the products that were sold under normal legal terms were within the safety level but those that were imported or without any authorizations contained so many contaminates especially arsenic and lead. Through the application of cosmetics, the paper introduced dermal absorption of heavy metals, which is an issue of accumulating toxicity that can produce adverse long-term consequences to the major body organs. Besides this, the paper has highlighted the application of phthalates as endocrine inhibitors that are common in poor cosmetics. The results indicate that despite the fact that regulation can lead to minimization in the risk to the health of the population, there is always a threat of entry of unregulated products. As the authors say, higher education of the consumers and surveillance may become a game-changer when it comes to restricting the amount of harmful ingredients in the cosmetics (Ruiz et al., 2019).</w:t>
      </w:r>
    </w:p>
    <w:p w:rsidR="003451D7" w:rsidRDefault="00715CE0">
      <w:pPr>
        <w:pStyle w:val="NormalWeb"/>
        <w:spacing w:before="240" w:line="360" w:lineRule="auto"/>
        <w:jc w:val="both"/>
      </w:pPr>
      <w:r>
        <w:t>This research was conducted under modern atomic absorption in which 72 samples of cosmetics with licenses and without licenses were studied in Iran as far as lead, cadmium, mercury, and arsenic are concerned. Despite the fact that the legal cosmetics complied more or less with the international standards of safety, contraband ones tended to be over the possible limit, especially, that of arsenic. The presence of lead and mercury in all the categories was not unusual but the content of arsenic was substantially high in the illegally produced eyebrow pencils and eye shadows. What is it interesting to point out is that even such legal product as mascara contained high amounts of arsenic and this is a matter of quality control. The study upholds the synergistic effect of the combinations of the heavy metals and underlines the necessity of the enhanced regulatory body of control in the sphere of imported and counterfeited cosmetics especially. It makes a conclusion that the frequent use of cosmetic products is a great danger to human life and needs immediate policies (Saadatzadeh et al., 2019).</w:t>
      </w:r>
    </w:p>
    <w:p w:rsidR="003451D7" w:rsidRDefault="00715CE0">
      <w:pPr>
        <w:pStyle w:val="NormalWeb"/>
        <w:spacing w:before="240" w:line="360" w:lineRule="auto"/>
        <w:jc w:val="both"/>
      </w:pPr>
      <w:r>
        <w:t xml:space="preserve">In another study (Munir et al., 2020) were also tested based on non-destructive high-resolution testing using atomic absorption spectrometry and X-ray Diffraction how 15 lipsticks manufactured in Lahore, Pakistan, correspond to the complaints against heavy metals. The scientists discovered that the levels of the elements they found namely lead (Pb), chromium (Cr), iron (Fe), copper (Cu), nickel (Ni) and arsenic (As) were very high with most of them superseding the set permitted limits by the USFDA. The paper has also indicated that pigments, raw materials as well as even </w:t>
      </w:r>
      <w:r>
        <w:lastRenderedPageBreak/>
        <w:t>manufacturing equipment’s can lead to metal contamination. Its outcomes detail a potential health hazard to the user through the long-term contact by dermal absorption and accidental consumption. This added to the conclusion made by the authors that inadequate regulation of the Pakistani cosmetic sector is a very serious situation but the attention should be directed towards the frequent inspection of the sector and creation of awareness to minimize the hazards to health.</w:t>
      </w:r>
    </w:p>
    <w:p w:rsidR="003451D7" w:rsidRDefault="00715CE0">
      <w:pPr>
        <w:pStyle w:val="NormalWeb"/>
        <w:spacing w:before="240" w:line="360" w:lineRule="auto"/>
        <w:jc w:val="both"/>
      </w:pPr>
      <w:r>
        <w:t>Borowska &amp; Brzoska et al. (2015) conducted a comprehensive inquiry on heavy metals that are commonly found in the cosmetic products along with their topical and systemic adverse effects. The research has described the manner in which the metals like lead, cadmium, mercury, arsenic, and nickel may build up in the human tissues after prolonged usage of cosmetics and may result in allergic dermatitis, nephrotoxicity, hepatotoxicity, and neurological disorders. Whereas, some metals are deliberately used as pigments or UV filters, others are added to cosmetics by accident due to the use of raw materials or the manufacturing equipment. The authors expressed their concerns on the absence of universal rules among the countries, as even the traces, which are technically unavoidable, may be dangerous. This research has come up with the conclusion that as the world continues to consume more cosmetics, the presence of toxic metals even in the most presumed harmless products such as face wash should be closely monitored to avoid health-related complications.</w:t>
      </w:r>
    </w:p>
    <w:p w:rsidR="003451D7" w:rsidRDefault="00715CE0">
      <w:pPr>
        <w:pStyle w:val="NormalWeb"/>
        <w:spacing w:before="240" w:line="360" w:lineRule="auto"/>
        <w:jc w:val="both"/>
      </w:pPr>
      <w:r>
        <w:t>In this study, extensive quantitative risk analysis of various heavy metals in cosmetics was undertaken by inductively coupled plasma-mass spectrometry. The authors have assessed the risks using non-cancer effects, carcinogenicity and dermal sensitization. They discovered that the average exposures to most of the metals like aluminum, copper and zinc were not above the acceptable safety margins but metals like lead, chromium and manganese were cancer risks particularly to heavy users. It is also interesting to note that 20.37 percent of the participants exceeded the daily intake of lead which is acceptable. The research has pointed out that heavy metals still find their way into cosmetic products even in the presence of the regulatory restrictions through contamination of raw materials and use of pigments. The authors drew a conclusion that among regular users of face cosmetics, the possible cumulative exposure should be under more stringent regulatory measures and the need to conduct additional research to protect the population (Lim et al., 2018).</w:t>
      </w:r>
    </w:p>
    <w:p w:rsidR="003451D7" w:rsidRDefault="00715CE0">
      <w:pPr>
        <w:pStyle w:val="NormalWeb"/>
        <w:spacing w:before="240" w:line="360" w:lineRule="auto"/>
        <w:jc w:val="both"/>
      </w:pPr>
      <w:r>
        <w:lastRenderedPageBreak/>
        <w:t>Within the context of their article, (Chen &amp; Li et al. 2021) reviewed a wide range of hazardous chemicals in cosmetics including heavy metals and steroids and their effects on human health and environment. The research particularly pointed at steroid hormones such as the hydrocortisone and dexamethasone which are normally added to cosmetics illegally to provide immediate skin-lightening or anti-inflammatory effects. The risks of these substances include hormonal imbalances, toxicity of the organs, and microbial contamination, together with their heavy metals, including mercury and lead. Eco-toxicological issues were also addressed in the paper whereby it was mentioned that cosmetics are used to pollute soil and water. It is important to note that the authors suggested such possible treatment measures as biosorbent technologies and composite filtration systems. The research ends by appealing to the governments, manufacturers, and consumers to engage in responsible behaviors and advocates the need to monitor such cosmetics as facewash, which can include not only heavy metals but also steroids in unsafe quantities (Chen &amp; Li et al., 2021).</w:t>
      </w:r>
    </w:p>
    <w:p w:rsidR="003451D7" w:rsidRDefault="00715CE0">
      <w:pPr>
        <w:pStyle w:val="NormalWeb"/>
        <w:spacing w:before="240" w:line="360" w:lineRule="auto"/>
        <w:jc w:val="both"/>
      </w:pPr>
      <w:r>
        <w:t>The study by (Xie et al., 2017) examined the notion of illicit addition of topical steroids to cosmetics especially face masks and creams in China. The study raised a concern on the increase in the prevalence of steroid induced dermatitis, that is, the steroid-dependent rosacea-like diseases caused by the long term, unmonitored use of steroid-loaded cosmetics. These were the products, which were frequently sold without any branding and control, and were mostly popular in beauty salons and online markets. The worst part is that almost 30 percent of the cosmetic products sampled tested positive of steroids. The research attributed this abuse to systemic health issues like Cushing syndrome, osteoporosis and immune suppression. The authors cited the need of consumers to be made pretty quickly, the weak control of the market and the lack of control over the regulatory framework as the main contributors to the issue. They provided a conclusion that the higher governmental control, increased testing capabilities, and education of the population are needed to bring the steroid contamination of cosmetics under control and protect the health of the user.</w:t>
      </w:r>
    </w:p>
    <w:p w:rsidR="003451D7" w:rsidRDefault="00715CE0">
      <w:pPr>
        <w:pStyle w:val="NormalWeb"/>
        <w:spacing w:before="240" w:beforeAutospacing="0" w:after="160" w:afterAutospacing="0" w:line="360" w:lineRule="auto"/>
        <w:jc w:val="both"/>
      </w:pPr>
      <w:r>
        <w:t xml:space="preserve">In India, (Karekar et al., 2020) conducted a cross-sectional study that evaluated the misuse and the knowledge of patients of dermatology regarding topical steroids. On the analysis of 400 prescriptions, the study indicated that the levels of ignorance were alarming; only 5.5 percent of the patients were cognizant of the fact that they were taking a steroid and only 5.6 percent of the </w:t>
      </w:r>
      <w:r>
        <w:lastRenderedPageBreak/>
        <w:t>patients were aware of the side effects. A large percentage of steroids were issued without prescriptions or prescribed to treat such diseases as fungal infections and cosmetic issues which they are not applicable. Some people used ultrahigh potency steroids over a long period of time which in most cases resulted in some undesired effects like skin atrophy, acne and steroid induced red face syndrome. The research came up with the conclusion that the misuse is widespread due to lack of access to healthcare, unregulated sales and awareness.</w:t>
      </w:r>
    </w:p>
    <w:p w:rsidR="003451D7" w:rsidRDefault="00715CE0">
      <w:pPr>
        <w:spacing w:before="240" w:line="360" w:lineRule="auto"/>
        <w:rPr>
          <w:rStyle w:val="Strong"/>
          <w:rFonts w:ascii="Times New Roman" w:eastAsiaTheme="majorEastAsia" w:hAnsi="Times New Roman" w:cs="Times New Roman"/>
          <w:b w:val="0"/>
          <w:bCs w:val="0"/>
          <w:color w:val="0E101A"/>
          <w:sz w:val="24"/>
          <w:szCs w:val="24"/>
        </w:rPr>
      </w:pPr>
      <w:r>
        <w:rPr>
          <w:rStyle w:val="Strong"/>
          <w:rFonts w:ascii="Times New Roman" w:eastAsiaTheme="majorEastAsia" w:hAnsi="Times New Roman" w:cs="Times New Roman"/>
          <w:b w:val="0"/>
          <w:bCs w:val="0"/>
          <w:color w:val="0E101A"/>
          <w:sz w:val="24"/>
          <w:szCs w:val="24"/>
        </w:rPr>
        <w:br w:type="page"/>
      </w:r>
    </w:p>
    <w:p w:rsidR="003451D7" w:rsidRDefault="00715CE0">
      <w:pPr>
        <w:jc w:val="right"/>
        <w:rPr>
          <w:rFonts w:ascii="Times New Roman" w:hAnsi="Times New Roman" w:cs="Times New Roman"/>
          <w:bCs/>
          <w:szCs w:val="32"/>
        </w:rPr>
      </w:pPr>
      <w:r>
        <w:rPr>
          <w:rFonts w:ascii="Times New Roman" w:hAnsi="Times New Roman" w:cs="Times New Roman"/>
          <w:b/>
          <w:bCs/>
          <w:sz w:val="32"/>
          <w:szCs w:val="32"/>
        </w:rPr>
        <w:lastRenderedPageBreak/>
        <w:t>Chapter 3</w:t>
      </w:r>
    </w:p>
    <w:p w:rsidR="003451D7" w:rsidRDefault="00715CE0">
      <w:pPr>
        <w:pStyle w:val="Heading1"/>
        <w:rPr>
          <w:rFonts w:cs="Times New Roman"/>
        </w:rPr>
      </w:pPr>
      <w:bookmarkStart w:id="52" w:name="_Toc202982284"/>
      <w:bookmarkStart w:id="53" w:name="_Toc202990353"/>
      <w:bookmarkStart w:id="54" w:name="_Toc208820392"/>
      <w:r>
        <w:rPr>
          <w:rFonts w:cs="Times New Roman"/>
        </w:rPr>
        <w:t>Methodology</w:t>
      </w:r>
      <w:bookmarkEnd w:id="52"/>
      <w:bookmarkEnd w:id="53"/>
      <w:bookmarkEnd w:id="54"/>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This chapter outlines the methodology employed to achieve the study's objective, which is to estimate the levels of heavy metals and steroids in face wash and assess the resulting health risks. The whole research was divided into parts like Desk study, Collection of Face wash samples, Estimation of heavy metals &amp; steroids, and Questionnaire-based survey</w:t>
      </w:r>
    </w:p>
    <w:p w:rsidR="003451D7" w:rsidRDefault="00715CE0">
      <w:pPr>
        <w:pStyle w:val="Heading2"/>
        <w:rPr>
          <w:rFonts w:cs="Times New Roman"/>
        </w:rPr>
      </w:pPr>
      <w:bookmarkStart w:id="55" w:name="_Toc208820393"/>
      <w:bookmarkStart w:id="56" w:name="_Toc202982285"/>
      <w:bookmarkStart w:id="57" w:name="_Toc202990354"/>
      <w:r>
        <w:rPr>
          <w:rFonts w:cs="Times New Roman"/>
        </w:rPr>
        <w:t>Desk Study:</w:t>
      </w:r>
      <w:bookmarkEnd w:id="55"/>
      <w:bookmarkEnd w:id="56"/>
      <w:bookmarkEnd w:id="57"/>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desk study involved two parts:</w:t>
      </w:r>
    </w:p>
    <w:p w:rsidR="003451D7" w:rsidRDefault="00715CE0">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Review of previous research work </w:t>
      </w:r>
    </w:p>
    <w:p w:rsidR="003451D7" w:rsidRDefault="00715CE0">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Questionnaire formation and analysis</w:t>
      </w:r>
    </w:p>
    <w:p w:rsidR="003451D7" w:rsidRDefault="003451D7">
      <w:pPr>
        <w:spacing w:after="0" w:line="360" w:lineRule="auto"/>
        <w:jc w:val="both"/>
        <w:rPr>
          <w:rFonts w:ascii="Times New Roman" w:hAnsi="Times New Roman" w:cs="Times New Roman"/>
          <w:sz w:val="24"/>
          <w:szCs w:val="24"/>
        </w:rPr>
      </w:pPr>
    </w:p>
    <w:p w:rsidR="003451D7" w:rsidRDefault="00715CE0">
      <w:pPr>
        <w:pStyle w:val="Heading3"/>
        <w:rPr>
          <w:rFonts w:cs="Times New Roman"/>
          <w:i w:val="0"/>
        </w:rPr>
      </w:pPr>
      <w:bookmarkStart w:id="58" w:name="_Toc202990355"/>
      <w:bookmarkStart w:id="59" w:name="_Toc202982286"/>
      <w:bookmarkStart w:id="60" w:name="_Toc208820394"/>
      <w:r>
        <w:rPr>
          <w:rFonts w:cs="Times New Roman"/>
          <w:i w:val="0"/>
        </w:rPr>
        <w:t>Review of Previous Research Work:</w:t>
      </w:r>
      <w:bookmarkEnd w:id="58"/>
      <w:bookmarkEnd w:id="59"/>
      <w:bookmarkEnd w:id="60"/>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Numerous studies have been conducted to evaluate the concentration, distribution, and environmental impacts of heavy metals in cosmetics. Some research has concluded that cosmetic products contribute to plastic pollution and water contamination. Additionally, many cosmetics contain harmful ingredients that can negatively affect ecosystems and wildlife when these products are discarded improperly.</w:t>
      </w: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While several investigations have assessed the health, risks associated with skin whitening creams, there is a lack of research focusing specifically on </w:t>
      </w:r>
      <w:r>
        <w:rPr>
          <w:rFonts w:ascii="Times New Roman" w:eastAsia="Times New Roman" w:hAnsi="Times New Roman" w:cs="Times New Roman"/>
          <w:color w:val="0E101A"/>
          <w:sz w:val="24"/>
          <w:szCs w:val="24"/>
        </w:rPr>
        <w:t>face wash</w:t>
      </w:r>
      <w:r>
        <w:rPr>
          <w:rFonts w:ascii="Times New Roman" w:hAnsi="Times New Roman" w:cs="Times New Roman"/>
          <w:sz w:val="24"/>
          <w:szCs w:val="24"/>
        </w:rPr>
        <w:t xml:space="preserve"> in Pakistan. Some findings indicate that the levels of heavy metals in these products exceed the permissible values set by the World Health Organization. Furthermore, even concentrations below these limits can pose health risks, as regular use may lead to hazardous effects through bioaccumulation in the body.</w:t>
      </w: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overuse of cosmetics, coupled with weak regulations and poor enforcement within the cosmetics industry, exacerbates both health and environmental concerns. Additionally, the environmental impact of cosmetic products, particularly due to the use of harmful chemicals and their packaging, raises significant concerns about sustainability and the potential harm to aquatic life. </w:t>
      </w:r>
    </w:p>
    <w:p w:rsidR="003451D7" w:rsidRDefault="00715CE0">
      <w:pPr>
        <w:pStyle w:val="Heading3"/>
        <w:rPr>
          <w:rFonts w:cs="Times New Roman"/>
          <w:i w:val="0"/>
        </w:rPr>
      </w:pPr>
      <w:bookmarkStart w:id="61" w:name="_Toc202982287"/>
      <w:bookmarkStart w:id="62" w:name="_Toc208820395"/>
      <w:bookmarkStart w:id="63" w:name="_Toc202990356"/>
      <w:r>
        <w:rPr>
          <w:rFonts w:cs="Times New Roman"/>
          <w:i w:val="0"/>
        </w:rPr>
        <w:lastRenderedPageBreak/>
        <w:t>Questionnaire Formation and Analysis:</w:t>
      </w:r>
      <w:bookmarkEnd w:id="61"/>
      <w:bookmarkEnd w:id="62"/>
      <w:bookmarkEnd w:id="63"/>
    </w:p>
    <w:p w:rsidR="003451D7" w:rsidRDefault="00715CE0" w:rsidP="00CB5CEC">
      <w:pPr>
        <w:pStyle w:val="NormalWeb"/>
        <w:spacing w:line="360" w:lineRule="auto"/>
      </w:pPr>
      <w:r>
        <w:t>The aim of the study was to determine the level of heavy metals and steroids in the locally marketed face washes and determine the health risks that it poses. A well-organized questionnaire was designed to measure the consumer knowledge, awareness and behavior towards the use of face wash products. s. A total of 200 copies of the questionnaire was distributed to individuals from various socioeconomic backgrounds. The questionnaire was aimed to collect the information about the level of education, the frequency and the purpose of use of face wash and whether the respondent was aware of the harmful ingredients (e.g., heavy metals, steroids) and whether they have experienced or not the side effects on the skin and health. It was formulated during our desk work by reviewing research papers and using information provided by the research of (Di Giovanni et al., 2006; Tejal et al., 2013). The responses are analyzed and discussed.</w:t>
      </w:r>
    </w:p>
    <w:p w:rsidR="003451D7" w:rsidRDefault="00715CE0">
      <w:pPr>
        <w:pStyle w:val="Heading2"/>
        <w:rPr>
          <w:rFonts w:cs="Times New Roman"/>
        </w:rPr>
      </w:pPr>
      <w:bookmarkStart w:id="64" w:name="_Toc202990357"/>
      <w:bookmarkStart w:id="65" w:name="_Toc208820396"/>
      <w:bookmarkStart w:id="66" w:name="_Toc202982288"/>
      <w:r>
        <w:rPr>
          <w:rFonts w:cs="Times New Roman"/>
        </w:rPr>
        <w:t>Sample Collection:</w:t>
      </w:r>
      <w:bookmarkEnd w:id="64"/>
      <w:bookmarkEnd w:id="65"/>
      <w:bookmarkEnd w:id="66"/>
    </w:p>
    <w:p w:rsidR="003451D7" w:rsidRDefault="00715CE0">
      <w:pPr>
        <w:spacing w:line="360" w:lineRule="auto"/>
      </w:pPr>
      <w:r>
        <w:rPr>
          <w:rFonts w:ascii="Times New Roman" w:eastAsia="Times New Roman" w:hAnsi="Times New Roman" w:cs="Times New Roman"/>
          <w:sz w:val="24"/>
          <w:szCs w:val="24"/>
        </w:rPr>
        <w:t xml:space="preserve">A total of 200 participants completed an online survey by using structured questionnaires for qualitative analysis. Quantitative analyses were determined by 30 samples of 10 local face washes. Samples were collected from different cosmetic outlets in Lahore, with three representative samples obtained from each brand. </w:t>
      </w:r>
      <w:r>
        <w:rPr>
          <w:rFonts w:ascii="Times New Roman" w:hAnsi="Times New Roman" w:cs="Times New Roman"/>
          <w:sz w:val="24"/>
          <w:szCs w:val="24"/>
        </w:rPr>
        <w:t>Each sample was labeled, and chemical analysis like pH and temperature were noted.</w:t>
      </w:r>
    </w:p>
    <w:p w:rsidR="003451D7" w:rsidRDefault="003451D7">
      <w:pPr>
        <w:spacing w:before="100" w:beforeAutospacing="1" w:after="100" w:afterAutospacing="1" w:line="360" w:lineRule="auto"/>
        <w:rPr>
          <w:rFonts w:ascii="Times New Roman" w:eastAsia="Times New Roman" w:hAnsi="Times New Roman" w:cs="Times New Roman"/>
          <w:sz w:val="24"/>
          <w:szCs w:val="24"/>
        </w:rPr>
      </w:pPr>
    </w:p>
    <w:p w:rsidR="003451D7" w:rsidRDefault="003451D7">
      <w:pPr>
        <w:spacing w:before="240" w:line="360" w:lineRule="auto"/>
        <w:jc w:val="both"/>
        <w:rPr>
          <w:rFonts w:ascii="Times New Roman" w:hAnsi="Times New Roman" w:cs="Times New Roman"/>
          <w:color w:val="0E101A"/>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rPr>
        <w:lastRenderedPageBreak/>
        <w:drawing>
          <wp:inline distT="0" distB="0" distL="0" distR="0">
            <wp:extent cx="4305300" cy="32067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49" cstate="print">
                      <a:extLst>
                        <a:ext uri="{28A0092B-C50C-407E-A947-70E740481C1C}">
                          <a14:useLocalDpi xmlns:a14="http://schemas.microsoft.com/office/drawing/2010/main" val="0"/>
                        </a:ext>
                      </a:extLst>
                    </a:blip>
                    <a:srcRect t="29746" b="17592"/>
                    <a:stretch>
                      <a:fillRect/>
                    </a:stretch>
                  </pic:blipFill>
                  <pic:spPr>
                    <a:xfrm>
                      <a:off x="0" y="0"/>
                      <a:ext cx="4311112" cy="3211454"/>
                    </a:xfrm>
                    <a:prstGeom prst="rect">
                      <a:avLst/>
                    </a:prstGeom>
                    <a:ln>
                      <a:noFill/>
                    </a:ln>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67" w:name="_Toc204038284"/>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Face Wash Samples</w:t>
      </w:r>
      <w:bookmarkEnd w:id="67"/>
    </w:p>
    <w:p w:rsidR="003451D7" w:rsidRDefault="003451D7">
      <w:pPr>
        <w:spacing w:before="240" w:line="360" w:lineRule="auto"/>
        <w:jc w:val="both"/>
        <w:rPr>
          <w:rFonts w:ascii="Times New Roman" w:hAnsi="Times New Roman" w:cs="Times New Roman"/>
          <w:b/>
          <w:bCs/>
          <w:iCs/>
        </w:rPr>
      </w:pPr>
    </w:p>
    <w:p w:rsidR="003451D7" w:rsidRDefault="00715CE0">
      <w:pPr>
        <w:pStyle w:val="Caption"/>
        <w:keepNext/>
        <w:jc w:val="center"/>
        <w:rPr>
          <w:rFonts w:ascii="Times New Roman" w:hAnsi="Times New Roman" w:cs="Times New Roman"/>
          <w:color w:val="auto"/>
          <w:sz w:val="22"/>
          <w:szCs w:val="22"/>
        </w:rPr>
      </w:pPr>
      <w:bookmarkStart w:id="68" w:name="_Toc204038312"/>
      <w:r>
        <w:rPr>
          <w:rFonts w:ascii="Times New Roman" w:hAnsi="Times New Roman" w:cs="Times New Roman"/>
          <w:b/>
          <w:bCs/>
          <w:color w:val="auto"/>
          <w:sz w:val="22"/>
          <w:szCs w:val="22"/>
        </w:rPr>
        <w:t xml:space="preserve">Table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Table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Question used in the questionnaire for the Survey</w:t>
      </w:r>
      <w:bookmarkEnd w:id="68"/>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7"/>
        <w:gridCol w:w="8843"/>
      </w:tblGrid>
      <w:tr w:rsidR="003451D7">
        <w:tc>
          <w:tcPr>
            <w:tcW w:w="276" w:type="pct"/>
            <w:tcBorders>
              <w:top w:val="single" w:sz="4" w:space="0" w:color="auto"/>
              <w:bottom w:val="single" w:sz="4" w:space="0" w:color="auto"/>
            </w:tcBorders>
            <w:vAlign w:val="center"/>
          </w:tcPr>
          <w:p w:rsidR="003451D7" w:rsidRDefault="00715CE0">
            <w:pPr>
              <w:pStyle w:val="NormalWeb"/>
              <w:spacing w:before="0" w:beforeAutospacing="0" w:after="0" w:afterAutospacing="0"/>
              <w:jc w:val="center"/>
              <w:rPr>
                <w:b/>
                <w:bCs/>
                <w:color w:val="0E101A"/>
              </w:rPr>
            </w:pPr>
            <w:r>
              <w:rPr>
                <w:b/>
                <w:bCs/>
                <w:color w:val="0E101A"/>
              </w:rPr>
              <w:t>Sr.</w:t>
            </w:r>
          </w:p>
        </w:tc>
        <w:tc>
          <w:tcPr>
            <w:tcW w:w="4724" w:type="pct"/>
            <w:tcBorders>
              <w:top w:val="single" w:sz="4" w:space="0" w:color="auto"/>
              <w:bottom w:val="single" w:sz="4" w:space="0" w:color="auto"/>
            </w:tcBorders>
            <w:vAlign w:val="center"/>
          </w:tcPr>
          <w:p w:rsidR="003451D7" w:rsidRDefault="00715CE0">
            <w:pPr>
              <w:pStyle w:val="NormalWeb"/>
              <w:spacing w:before="0" w:beforeAutospacing="0" w:after="0" w:afterAutospacing="0"/>
              <w:jc w:val="center"/>
              <w:rPr>
                <w:color w:val="0E101A"/>
              </w:rPr>
            </w:pPr>
            <w:r>
              <w:rPr>
                <w:b/>
                <w:bCs/>
                <w:color w:val="0E101A"/>
              </w:rPr>
              <w:t>Question</w:t>
            </w:r>
          </w:p>
        </w:tc>
      </w:tr>
      <w:tr w:rsidR="003451D7">
        <w:tc>
          <w:tcPr>
            <w:tcW w:w="276" w:type="pct"/>
            <w:tcBorders>
              <w:top w:val="single" w:sz="4" w:space="0" w:color="auto"/>
            </w:tcBorders>
            <w:vAlign w:val="center"/>
          </w:tcPr>
          <w:p w:rsidR="003451D7" w:rsidRDefault="00715CE0">
            <w:pPr>
              <w:pStyle w:val="NormalWeb"/>
              <w:spacing w:before="0" w:beforeAutospacing="0" w:after="0" w:afterAutospacing="0"/>
              <w:jc w:val="center"/>
              <w:rPr>
                <w:color w:val="0E101A"/>
              </w:rPr>
            </w:pPr>
            <w:r>
              <w:rPr>
                <w:color w:val="0E101A"/>
              </w:rPr>
              <w:t>1</w:t>
            </w:r>
          </w:p>
        </w:tc>
        <w:tc>
          <w:tcPr>
            <w:tcW w:w="4724" w:type="pct"/>
            <w:tcBorders>
              <w:top w:val="single" w:sz="4" w:space="0" w:color="auto"/>
            </w:tcBorders>
            <w:vAlign w:val="center"/>
          </w:tcPr>
          <w:p w:rsidR="003451D7" w:rsidRDefault="00715CE0">
            <w:pPr>
              <w:pStyle w:val="NormalWeb"/>
              <w:spacing w:before="0" w:beforeAutospacing="0" w:after="0" w:afterAutospacing="0"/>
              <w:rPr>
                <w:color w:val="0E101A"/>
              </w:rPr>
            </w:pPr>
            <w:r>
              <w:rPr>
                <w:color w:val="0E101A"/>
              </w:rPr>
              <w:t>Gender</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2</w:t>
            </w:r>
          </w:p>
        </w:tc>
        <w:tc>
          <w:tcPr>
            <w:tcW w:w="4724" w:type="pct"/>
            <w:vAlign w:val="center"/>
          </w:tcPr>
          <w:p w:rsidR="003451D7" w:rsidRDefault="00715CE0">
            <w:pPr>
              <w:pStyle w:val="NormalWeb"/>
              <w:spacing w:before="0" w:beforeAutospacing="0" w:after="0" w:afterAutospacing="0"/>
              <w:rPr>
                <w:color w:val="0E101A"/>
              </w:rPr>
            </w:pPr>
            <w:r>
              <w:rPr>
                <w:color w:val="0E101A"/>
              </w:rPr>
              <w:t>What is your age group?</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3</w:t>
            </w:r>
          </w:p>
        </w:tc>
        <w:tc>
          <w:tcPr>
            <w:tcW w:w="4724" w:type="pct"/>
            <w:vAlign w:val="center"/>
          </w:tcPr>
          <w:p w:rsidR="003451D7" w:rsidRDefault="00715CE0">
            <w:pPr>
              <w:pStyle w:val="NormalWeb"/>
              <w:spacing w:before="0" w:beforeAutospacing="0" w:after="0" w:afterAutospacing="0"/>
              <w:rPr>
                <w:color w:val="0E101A"/>
              </w:rPr>
            </w:pPr>
            <w:r>
              <w:rPr>
                <w:color w:val="0E101A"/>
              </w:rPr>
              <w:t>What is your highest level of education?</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4</w:t>
            </w:r>
          </w:p>
        </w:tc>
        <w:tc>
          <w:tcPr>
            <w:tcW w:w="4724" w:type="pct"/>
            <w:vAlign w:val="center"/>
          </w:tcPr>
          <w:p w:rsidR="003451D7" w:rsidRDefault="00715CE0">
            <w:pPr>
              <w:pStyle w:val="NormalWeb"/>
              <w:spacing w:before="0" w:beforeAutospacing="0" w:after="0" w:afterAutospacing="0"/>
              <w:rPr>
                <w:color w:val="0E101A"/>
              </w:rPr>
            </w:pPr>
            <w:r>
              <w:rPr>
                <w:color w:val="0E101A"/>
              </w:rPr>
              <w:t>How often do you use Face wash?</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5</w:t>
            </w:r>
          </w:p>
        </w:tc>
        <w:tc>
          <w:tcPr>
            <w:tcW w:w="4724" w:type="pct"/>
            <w:vAlign w:val="center"/>
          </w:tcPr>
          <w:p w:rsidR="003451D7" w:rsidRDefault="00715CE0">
            <w:pPr>
              <w:pStyle w:val="NormalWeb"/>
              <w:spacing w:before="0" w:beforeAutospacing="0" w:after="0" w:afterAutospacing="0"/>
              <w:rPr>
                <w:color w:val="0E101A"/>
              </w:rPr>
            </w:pPr>
            <w:r>
              <w:rPr>
                <w:color w:val="0E101A"/>
              </w:rPr>
              <w:t>How frequently do you use face wash?</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6</w:t>
            </w:r>
          </w:p>
        </w:tc>
        <w:tc>
          <w:tcPr>
            <w:tcW w:w="4724" w:type="pct"/>
            <w:vAlign w:val="center"/>
          </w:tcPr>
          <w:p w:rsidR="003451D7" w:rsidRDefault="00715CE0">
            <w:pPr>
              <w:pStyle w:val="NormalWeb"/>
              <w:spacing w:before="0" w:beforeAutospacing="0" w:after="0" w:afterAutospacing="0"/>
              <w:rPr>
                <w:color w:val="0E101A"/>
              </w:rPr>
            </w:pPr>
            <w:r>
              <w:rPr>
                <w:color w:val="0E101A"/>
              </w:rPr>
              <w:t>Which local brand of face wash do you use most frequently?</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7</w:t>
            </w:r>
          </w:p>
        </w:tc>
        <w:tc>
          <w:tcPr>
            <w:tcW w:w="4724" w:type="pct"/>
            <w:vAlign w:val="center"/>
          </w:tcPr>
          <w:p w:rsidR="003451D7" w:rsidRDefault="00715CE0">
            <w:pPr>
              <w:pStyle w:val="NormalWeb"/>
              <w:spacing w:before="0" w:beforeAutospacing="0" w:after="0" w:afterAutospacing="0"/>
              <w:rPr>
                <w:color w:val="0E101A"/>
              </w:rPr>
            </w:pPr>
            <w:r>
              <w:rPr>
                <w:color w:val="0E101A"/>
              </w:rPr>
              <w:t>What are the main reasons for using face wash?</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8</w:t>
            </w:r>
          </w:p>
        </w:tc>
        <w:tc>
          <w:tcPr>
            <w:tcW w:w="4724" w:type="pct"/>
            <w:vAlign w:val="center"/>
          </w:tcPr>
          <w:p w:rsidR="003451D7" w:rsidRDefault="00715CE0">
            <w:pPr>
              <w:pStyle w:val="NormalWeb"/>
              <w:spacing w:before="0" w:beforeAutospacing="0" w:after="0" w:afterAutospacing="0"/>
              <w:rPr>
                <w:color w:val="0E101A"/>
              </w:rPr>
            </w:pPr>
            <w:r>
              <w:rPr>
                <w:color w:val="0E101A"/>
              </w:rPr>
              <w:t>Are you aware of the ingredients used in face wash?</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9</w:t>
            </w:r>
          </w:p>
        </w:tc>
        <w:tc>
          <w:tcPr>
            <w:tcW w:w="4724" w:type="pct"/>
            <w:vAlign w:val="center"/>
          </w:tcPr>
          <w:p w:rsidR="003451D7" w:rsidRDefault="00715CE0">
            <w:pPr>
              <w:pStyle w:val="NormalWeb"/>
              <w:spacing w:before="0" w:beforeAutospacing="0" w:after="0" w:afterAutospacing="0"/>
              <w:rPr>
                <w:color w:val="0E101A"/>
              </w:rPr>
            </w:pPr>
            <w:r>
              <w:rPr>
                <w:color w:val="0E101A"/>
              </w:rPr>
              <w:t>Have you heard of the following harmful substances in face wash?</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10</w:t>
            </w:r>
          </w:p>
        </w:tc>
        <w:tc>
          <w:tcPr>
            <w:tcW w:w="4724" w:type="pct"/>
            <w:vAlign w:val="center"/>
          </w:tcPr>
          <w:p w:rsidR="003451D7" w:rsidRDefault="00715CE0">
            <w:pPr>
              <w:pStyle w:val="NormalWeb"/>
              <w:spacing w:before="0" w:beforeAutospacing="0" w:after="0" w:afterAutospacing="0"/>
              <w:rPr>
                <w:color w:val="0E101A"/>
              </w:rPr>
            </w:pPr>
            <w:r>
              <w:rPr>
                <w:color w:val="0E101A"/>
              </w:rPr>
              <w:t>Are you aware of any long-term health risks linked to the use of face wash (e.g., skin thinning, skin infection)?</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11</w:t>
            </w:r>
          </w:p>
        </w:tc>
        <w:tc>
          <w:tcPr>
            <w:tcW w:w="4724" w:type="pct"/>
            <w:vAlign w:val="center"/>
          </w:tcPr>
          <w:p w:rsidR="003451D7" w:rsidRDefault="00715CE0">
            <w:pPr>
              <w:pStyle w:val="NormalWeb"/>
              <w:spacing w:before="0" w:beforeAutospacing="0" w:after="0" w:afterAutospacing="0"/>
              <w:rPr>
                <w:color w:val="0E101A"/>
              </w:rPr>
            </w:pPr>
            <w:r>
              <w:rPr>
                <w:color w:val="0E101A"/>
              </w:rPr>
              <w:t>Have you ever experienced side effects from using face wash?</w:t>
            </w:r>
          </w:p>
        </w:tc>
      </w:tr>
      <w:tr w:rsidR="003451D7">
        <w:tc>
          <w:tcPr>
            <w:tcW w:w="276" w:type="pct"/>
            <w:vAlign w:val="center"/>
          </w:tcPr>
          <w:p w:rsidR="003451D7" w:rsidRDefault="00715CE0">
            <w:pPr>
              <w:pStyle w:val="NormalWeb"/>
              <w:spacing w:before="0" w:beforeAutospacing="0" w:after="0" w:afterAutospacing="0"/>
              <w:jc w:val="center"/>
              <w:rPr>
                <w:color w:val="0E101A"/>
              </w:rPr>
            </w:pPr>
            <w:r>
              <w:rPr>
                <w:color w:val="0E101A"/>
              </w:rPr>
              <w:t>12</w:t>
            </w:r>
          </w:p>
        </w:tc>
        <w:tc>
          <w:tcPr>
            <w:tcW w:w="4724" w:type="pct"/>
            <w:vAlign w:val="center"/>
          </w:tcPr>
          <w:p w:rsidR="003451D7" w:rsidRDefault="00715CE0">
            <w:pPr>
              <w:pStyle w:val="NormalWeb"/>
              <w:spacing w:before="0" w:beforeAutospacing="0" w:after="0" w:afterAutospacing="0"/>
              <w:rPr>
                <w:color w:val="0E101A"/>
              </w:rPr>
            </w:pPr>
            <w:r>
              <w:rPr>
                <w:color w:val="0E101A"/>
              </w:rPr>
              <w:t>Do you believe heavy metals and steroids are used in face wash due to a lack of regulation in Pakistan?</w:t>
            </w:r>
          </w:p>
        </w:tc>
      </w:tr>
    </w:tbl>
    <w:p w:rsidR="003451D7" w:rsidRDefault="003451D7">
      <w:pPr>
        <w:spacing w:before="240" w:line="360" w:lineRule="auto"/>
        <w:jc w:val="both"/>
        <w:rPr>
          <w:rFonts w:ascii="Times New Roman" w:hAnsi="Times New Roman" w:cs="Times New Roman"/>
          <w:sz w:val="24"/>
          <w:szCs w:val="24"/>
        </w:rPr>
      </w:pPr>
    </w:p>
    <w:p w:rsidR="003451D7" w:rsidRDefault="00715CE0">
      <w:pPr>
        <w:pStyle w:val="Heading2"/>
        <w:rPr>
          <w:rFonts w:cs="Times New Roman"/>
        </w:rPr>
      </w:pPr>
      <w:bookmarkStart w:id="69" w:name="_Toc208820397"/>
      <w:bookmarkStart w:id="70" w:name="_Toc202982289"/>
      <w:bookmarkStart w:id="71" w:name="_Toc202990358"/>
      <w:r>
        <w:rPr>
          <w:rFonts w:cs="Times New Roman"/>
        </w:rPr>
        <w:lastRenderedPageBreak/>
        <w:t>Determination of Heavy Metal Concentration:</w:t>
      </w:r>
      <w:bookmarkEnd w:id="69"/>
      <w:bookmarkEnd w:id="70"/>
      <w:bookmarkEnd w:id="71"/>
    </w:p>
    <w:p w:rsidR="003451D7" w:rsidRDefault="00715CE0">
      <w:pPr>
        <w:pStyle w:val="Heading3"/>
        <w:rPr>
          <w:rFonts w:cs="Times New Roman"/>
        </w:rPr>
      </w:pPr>
      <w:bookmarkStart w:id="72" w:name="_Toc202982290"/>
      <w:bookmarkStart w:id="73" w:name="_Toc208820398"/>
      <w:bookmarkStart w:id="74" w:name="_Toc202990359"/>
      <w:r>
        <w:rPr>
          <w:rFonts w:cs="Times New Roman"/>
        </w:rPr>
        <w:t>Preparation of Samples:</w:t>
      </w:r>
      <w:bookmarkEnd w:id="72"/>
      <w:bookmarkEnd w:id="73"/>
      <w:bookmarkEnd w:id="74"/>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standard procedures were used to prepare the samples in order to have heavy metal analysis. Each of the samples was weighed in the evaporating dish to the approximate 5 grams and placed in an electric oven. They dried the samples in the oven at the temperature of 100 ℃ approximately thirty minutes. Thereafter, the plates where the samples had been placed were loaded on a furnace and heated to 525 ℃ temperature in five hours. Ashes in white color, which had no carbon content were obtained.</w:t>
      </w:r>
    </w:p>
    <w:p w:rsidR="003451D7" w:rsidRDefault="00715CE0">
      <w:pPr>
        <w:pStyle w:val="Heading3"/>
        <w:rPr>
          <w:rFonts w:cs="Times New Roman"/>
        </w:rPr>
      </w:pPr>
      <w:bookmarkStart w:id="75" w:name="_Toc202990360"/>
      <w:bookmarkStart w:id="76" w:name="_Toc202982291"/>
      <w:bookmarkStart w:id="77" w:name="_Toc208820399"/>
      <w:r>
        <w:rPr>
          <w:rFonts w:cs="Times New Roman"/>
        </w:rPr>
        <w:t>Digestion and Dilution of Samples:</w:t>
      </w:r>
      <w:bookmarkEnd w:id="75"/>
      <w:bookmarkEnd w:id="76"/>
      <w:bookmarkEnd w:id="77"/>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Each sample was digested in about 5 mL aqua regia or made up of HNO 3 and HCl in a 3:1 ratio on a hot plate at 80-85 o C and the reagent volume displaced to 1 mL or equivalently containing 1 mL of sample included in 5 mL of aqua regia. Subsequently, 3.0 ml of concentrated acid mixture was again added in order to digest it completely and to get the final white-colored residue. This was followed by dissolving the digested samples to 10 mL of distilled water, and filtration using Whatman No. 1 filter paper. Thereafter, the standards were done after which the samples were tested with atomic absorption spectrophotometer.</w:t>
      </w: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drawing>
          <wp:inline distT="0" distB="0" distL="0" distR="0">
            <wp:extent cx="3115310" cy="2932430"/>
            <wp:effectExtent l="0" t="0" r="8890" b="1270"/>
            <wp:docPr id="12398075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807531"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3115310" cy="2932430"/>
                    </a:xfrm>
                    <a:prstGeom prst="rect">
                      <a:avLst/>
                    </a:prstGeom>
                    <a:noFill/>
                  </pic:spPr>
                </pic:pic>
              </a:graphicData>
            </a:graphic>
          </wp:inline>
        </w:drawing>
      </w:r>
    </w:p>
    <w:p w:rsidR="003451D7" w:rsidRDefault="00715CE0">
      <w:pPr>
        <w:pStyle w:val="Caption"/>
        <w:jc w:val="center"/>
        <w:rPr>
          <w:rFonts w:ascii="Times New Roman" w:hAnsi="Times New Roman" w:cs="Times New Roman"/>
          <w:b/>
          <w:bCs/>
          <w:color w:val="auto"/>
          <w:sz w:val="24"/>
          <w:szCs w:val="24"/>
        </w:rPr>
      </w:pPr>
      <w:bookmarkStart w:id="78" w:name="_Toc204038285"/>
      <w:r>
        <w:rPr>
          <w:rFonts w:ascii="Times New Roman" w:hAnsi="Times New Roman" w:cs="Times New Roman"/>
          <w:b/>
          <w:bCs/>
          <w:color w:val="auto"/>
          <w:sz w:val="24"/>
          <w:szCs w:val="24"/>
        </w:rPr>
        <w:t xml:space="preserve">Figure </w:t>
      </w:r>
      <w:r>
        <w:rPr>
          <w:rFonts w:ascii="Times New Roman" w:hAnsi="Times New Roman" w:cs="Times New Roman"/>
          <w:b/>
          <w:bCs/>
          <w:color w:val="auto"/>
          <w:sz w:val="24"/>
          <w:szCs w:val="24"/>
        </w:rPr>
        <w:fldChar w:fldCharType="begin"/>
      </w:r>
      <w:r>
        <w:rPr>
          <w:rFonts w:ascii="Times New Roman" w:hAnsi="Times New Roman" w:cs="Times New Roman"/>
          <w:b/>
          <w:bCs/>
          <w:color w:val="auto"/>
          <w:sz w:val="24"/>
          <w:szCs w:val="24"/>
        </w:rPr>
        <w:instrText xml:space="preserve"> STYLEREF 1 \s </w:instrText>
      </w:r>
      <w:r>
        <w:rPr>
          <w:rFonts w:ascii="Times New Roman" w:hAnsi="Times New Roman" w:cs="Times New Roman"/>
          <w:b/>
          <w:bCs/>
          <w:color w:val="auto"/>
          <w:sz w:val="24"/>
          <w:szCs w:val="24"/>
        </w:rPr>
        <w:fldChar w:fldCharType="separate"/>
      </w:r>
      <w:r w:rsidR="00DE5BAE">
        <w:rPr>
          <w:rFonts w:ascii="Times New Roman" w:hAnsi="Times New Roman" w:cs="Times New Roman"/>
          <w:b/>
          <w:bCs/>
          <w:noProof/>
          <w:color w:val="auto"/>
          <w:sz w:val="24"/>
          <w:szCs w:val="24"/>
        </w:rPr>
        <w:t>3</w:t>
      </w:r>
      <w:r>
        <w:rPr>
          <w:rFonts w:ascii="Times New Roman" w:hAnsi="Times New Roman" w:cs="Times New Roman"/>
          <w:b/>
          <w:bCs/>
          <w:color w:val="auto"/>
          <w:sz w:val="24"/>
          <w:szCs w:val="24"/>
        </w:rPr>
        <w:fldChar w:fldCharType="end"/>
      </w:r>
      <w:r>
        <w:rPr>
          <w:rFonts w:ascii="Times New Roman" w:hAnsi="Times New Roman" w:cs="Times New Roman"/>
          <w:b/>
          <w:bCs/>
          <w:color w:val="auto"/>
          <w:sz w:val="24"/>
          <w:szCs w:val="24"/>
        </w:rPr>
        <w:t>.</w:t>
      </w:r>
      <w:r>
        <w:rPr>
          <w:rFonts w:ascii="Times New Roman" w:hAnsi="Times New Roman" w:cs="Times New Roman"/>
          <w:b/>
          <w:bCs/>
          <w:color w:val="auto"/>
          <w:sz w:val="24"/>
          <w:szCs w:val="24"/>
        </w:rPr>
        <w:fldChar w:fldCharType="begin"/>
      </w:r>
      <w:r>
        <w:rPr>
          <w:rFonts w:ascii="Times New Roman" w:hAnsi="Times New Roman" w:cs="Times New Roman"/>
          <w:b/>
          <w:bCs/>
          <w:color w:val="auto"/>
          <w:sz w:val="24"/>
          <w:szCs w:val="24"/>
        </w:rPr>
        <w:instrText xml:space="preserve"> SEQ Figure \* ARABIC \s 1 </w:instrText>
      </w:r>
      <w:r>
        <w:rPr>
          <w:rFonts w:ascii="Times New Roman" w:hAnsi="Times New Roman" w:cs="Times New Roman"/>
          <w:b/>
          <w:bCs/>
          <w:color w:val="auto"/>
          <w:sz w:val="24"/>
          <w:szCs w:val="24"/>
        </w:rPr>
        <w:fldChar w:fldCharType="separate"/>
      </w:r>
      <w:r w:rsidR="00DE5BAE">
        <w:rPr>
          <w:rFonts w:ascii="Times New Roman" w:hAnsi="Times New Roman" w:cs="Times New Roman"/>
          <w:b/>
          <w:bCs/>
          <w:noProof/>
          <w:color w:val="auto"/>
          <w:sz w:val="24"/>
          <w:szCs w:val="24"/>
        </w:rPr>
        <w:t>2</w:t>
      </w:r>
      <w:r>
        <w:rPr>
          <w:rFonts w:ascii="Times New Roman" w:hAnsi="Times New Roman" w:cs="Times New Roman"/>
          <w:b/>
          <w:bCs/>
          <w:color w:val="auto"/>
          <w:sz w:val="24"/>
          <w:szCs w:val="24"/>
        </w:rPr>
        <w:fldChar w:fldCharType="end"/>
      </w:r>
      <w:r>
        <w:rPr>
          <w:rFonts w:ascii="Times New Roman" w:hAnsi="Times New Roman" w:cs="Times New Roman"/>
          <w:b/>
          <w:bCs/>
          <w:color w:val="auto"/>
          <w:sz w:val="24"/>
          <w:szCs w:val="24"/>
        </w:rPr>
        <w:t xml:space="preserve"> Samples during digestion and dilution (a)</w:t>
      </w:r>
      <w:bookmarkEnd w:id="78"/>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lastRenderedPageBreak/>
        <w:drawing>
          <wp:inline distT="0" distB="0" distL="0" distR="0">
            <wp:extent cx="3267710" cy="3621405"/>
            <wp:effectExtent l="0" t="0" r="8890" b="0"/>
            <wp:docPr id="15676219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621992"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3267710" cy="3621405"/>
                    </a:xfrm>
                    <a:prstGeom prst="rect">
                      <a:avLst/>
                    </a:prstGeom>
                    <a:noFill/>
                  </pic:spPr>
                </pic:pic>
              </a:graphicData>
            </a:graphic>
          </wp:inline>
        </w:drawing>
      </w:r>
    </w:p>
    <w:p w:rsidR="003451D7" w:rsidRDefault="00715CE0">
      <w:pPr>
        <w:pStyle w:val="Caption"/>
        <w:jc w:val="center"/>
        <w:rPr>
          <w:rFonts w:ascii="Times New Roman" w:hAnsi="Times New Roman" w:cs="Times New Roman"/>
          <w:iCs w:val="0"/>
          <w:color w:val="auto"/>
          <w:sz w:val="22"/>
          <w:szCs w:val="22"/>
        </w:rPr>
      </w:pPr>
      <w:bookmarkStart w:id="79" w:name="_Toc202985677"/>
      <w:bookmarkStart w:id="80" w:name="_Toc202990516"/>
      <w:r>
        <w:rPr>
          <w:rFonts w:ascii="Times New Roman" w:hAnsi="Times New Roman" w:cs="Times New Roman"/>
          <w:b/>
          <w:bCs/>
          <w:iCs w:val="0"/>
          <w:color w:val="auto"/>
          <w:sz w:val="22"/>
          <w:szCs w:val="22"/>
        </w:rPr>
        <w:t xml:space="preserve">Figure 3.3 </w:t>
      </w:r>
      <w:r>
        <w:rPr>
          <w:rFonts w:ascii="Times New Roman" w:hAnsi="Times New Roman" w:cs="Times New Roman"/>
          <w:iCs w:val="0"/>
          <w:color w:val="auto"/>
          <w:sz w:val="22"/>
          <w:szCs w:val="22"/>
        </w:rPr>
        <w:t xml:space="preserve">Samples during digestion and dilution </w:t>
      </w:r>
      <w:bookmarkEnd w:id="79"/>
      <w:bookmarkEnd w:id="80"/>
      <w:r>
        <w:rPr>
          <w:rFonts w:ascii="Times New Roman" w:hAnsi="Times New Roman" w:cs="Times New Roman"/>
          <w:iCs w:val="0"/>
          <w:color w:val="auto"/>
          <w:sz w:val="22"/>
          <w:szCs w:val="22"/>
        </w:rPr>
        <w:t>(b)</w:t>
      </w:r>
    </w:p>
    <w:p w:rsidR="003451D7" w:rsidRDefault="003451D7">
      <w:pPr>
        <w:rPr>
          <w:rFonts w:ascii="Times New Roman" w:hAnsi="Times New Roman" w:cs="Times New Roman"/>
        </w:rPr>
      </w:pPr>
    </w:p>
    <w:p w:rsidR="003451D7" w:rsidRDefault="00715CE0">
      <w:pPr>
        <w:keepNext/>
        <w:jc w:val="center"/>
        <w:rPr>
          <w:rFonts w:ascii="Times New Roman" w:hAnsi="Times New Roman" w:cs="Times New Roman"/>
        </w:rPr>
      </w:pPr>
      <w:r>
        <w:rPr>
          <w:rFonts w:ascii="Times New Roman" w:hAnsi="Times New Roman" w:cs="Times New Roman"/>
          <w:noProof/>
          <w:sz w:val="24"/>
          <w:szCs w:val="24"/>
        </w:rPr>
        <w:drawing>
          <wp:inline distT="0" distB="0" distL="0" distR="0">
            <wp:extent cx="2493645" cy="3316605"/>
            <wp:effectExtent l="0" t="0" r="1905" b="0"/>
            <wp:docPr id="117112249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122492"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2493645" cy="3316605"/>
                    </a:xfrm>
                    <a:prstGeom prst="rect">
                      <a:avLst/>
                    </a:prstGeom>
                    <a:noFill/>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81" w:name="_Toc204038286"/>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.4 </w:t>
      </w:r>
      <w:r>
        <w:rPr>
          <w:rFonts w:ascii="Times New Roman" w:hAnsi="Times New Roman" w:cs="Times New Roman"/>
          <w:color w:val="auto"/>
          <w:sz w:val="22"/>
          <w:szCs w:val="22"/>
        </w:rPr>
        <w:t>Blank solution run to calibrate the instrument</w:t>
      </w:r>
      <w:bookmarkEnd w:id="81"/>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82" w:name="_Toc208820400"/>
      <w:bookmarkStart w:id="83" w:name="_Toc202990361"/>
      <w:bookmarkStart w:id="84" w:name="_Toc202982292"/>
      <w:r>
        <w:rPr>
          <w:rFonts w:cs="Times New Roman"/>
        </w:rPr>
        <w:t>Standards Preparation:</w:t>
      </w:r>
      <w:bookmarkEnd w:id="82"/>
      <w:bookmarkEnd w:id="83"/>
      <w:bookmarkEnd w:id="84"/>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Standard solutions for metals were prepared for the following concentrations: 2 ppm, 4 ppm, and 6 ppm. Cadmium standards of 5 ppm, 10 ppm, and 15 ppm were prepared. For instance, a stock solution of 1000 ppm was prepared to obtain a 100-ppm solution, from which 2, 4, and 6 ppm samples were prepared as follows: 2 mL of the sample was taken from the 100-ppm solution, and 98 mL of distilled water was added. This is done by following the formula:</w:t>
      </w:r>
    </w:p>
    <w:p w:rsidR="003451D7" w:rsidRDefault="00715CE0">
      <w:pPr>
        <w:spacing w:before="240" w:line="360" w:lineRule="auto"/>
        <w:jc w:val="center"/>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vertAlign w:val="subscript"/>
        </w:rPr>
        <w:t>1</w:t>
      </w:r>
      <w:r>
        <w:rPr>
          <w:rFonts w:ascii="Times New Roman" w:hAnsi="Times New Roman" w:cs="Times New Roman"/>
          <w:sz w:val="24"/>
          <w:szCs w:val="24"/>
        </w:rPr>
        <w:t>V</w:t>
      </w:r>
      <w:r>
        <w:rPr>
          <w:rFonts w:ascii="Times New Roman" w:hAnsi="Times New Roman" w:cs="Times New Roman"/>
          <w:sz w:val="24"/>
          <w:szCs w:val="24"/>
          <w:vertAlign w:val="subscript"/>
        </w:rPr>
        <w:t>1</w:t>
      </w:r>
      <w:r>
        <w:rPr>
          <w:rFonts w:ascii="Times New Roman" w:hAnsi="Times New Roman" w:cs="Times New Roman"/>
          <w:sz w:val="24"/>
          <w:szCs w:val="24"/>
        </w:rPr>
        <w:t xml:space="preserve"> = C</w:t>
      </w:r>
      <w:r>
        <w:rPr>
          <w:rFonts w:ascii="Times New Roman" w:hAnsi="Times New Roman" w:cs="Times New Roman"/>
          <w:sz w:val="24"/>
          <w:szCs w:val="24"/>
          <w:vertAlign w:val="subscript"/>
        </w:rPr>
        <w:t>2</w:t>
      </w:r>
      <w:r>
        <w:rPr>
          <w:rFonts w:ascii="Times New Roman" w:hAnsi="Times New Roman" w:cs="Times New Roman"/>
          <w:sz w:val="24"/>
          <w:szCs w:val="24"/>
        </w:rPr>
        <w:t>V</w:t>
      </w:r>
      <w:r>
        <w:rPr>
          <w:rFonts w:ascii="Times New Roman" w:hAnsi="Times New Roman" w:cs="Times New Roman"/>
          <w:sz w:val="24"/>
          <w:szCs w:val="24"/>
          <w:vertAlign w:val="subscript"/>
        </w:rPr>
        <w:t>2</w:t>
      </w:r>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85" w:name="_Toc202990362"/>
      <w:bookmarkStart w:id="86" w:name="_Toc202982293"/>
      <w:bookmarkStart w:id="87" w:name="_Toc208820401"/>
      <w:r>
        <w:rPr>
          <w:rFonts w:cs="Times New Roman"/>
        </w:rPr>
        <w:t>Analysis of Samples:</w:t>
      </w:r>
      <w:bookmarkEnd w:id="85"/>
      <w:bookmarkEnd w:id="86"/>
      <w:bookmarkEnd w:id="87"/>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First, the blank solution was run to calibrate the instrument. Thirty samples of face wash were labelled. Samples were run after preparing standards and calibrating the instrument for the detection of copper, cadmium, nickel, lead, and chromium. Samples were prepared and analyzed at the Pakistan Council of Scientific and Industrial Research (PCSIR) in Lahore.</w:t>
      </w:r>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2"/>
        <w:rPr>
          <w:rFonts w:cs="Times New Roman"/>
          <w:szCs w:val="28"/>
        </w:rPr>
      </w:pPr>
      <w:bookmarkStart w:id="88" w:name="_Toc202990363"/>
      <w:bookmarkStart w:id="89" w:name="_Toc208820402"/>
      <w:bookmarkStart w:id="90" w:name="_Toc202982294"/>
      <w:r>
        <w:rPr>
          <w:rFonts w:cs="Times New Roman"/>
          <w:szCs w:val="28"/>
        </w:rPr>
        <w:t>Determination of Steroids (Cortisone &amp; Betamethasone):</w:t>
      </w:r>
      <w:bookmarkEnd w:id="88"/>
      <w:bookmarkEnd w:id="89"/>
      <w:bookmarkEnd w:id="90"/>
    </w:p>
    <w:p w:rsidR="003451D7" w:rsidRDefault="00715CE0">
      <w:pPr>
        <w:pStyle w:val="Heading3"/>
        <w:rPr>
          <w:rFonts w:cs="Times New Roman"/>
        </w:rPr>
      </w:pPr>
      <w:bookmarkStart w:id="91" w:name="_Toc208820403"/>
      <w:bookmarkStart w:id="92" w:name="_Toc202990364"/>
      <w:bookmarkStart w:id="93" w:name="_Toc202982295"/>
      <w:r>
        <w:rPr>
          <w:rFonts w:cs="Times New Roman"/>
          <w:lang w:val="zh-CN"/>
        </w:rPr>
        <w:t>HPLC Conditions</w:t>
      </w:r>
      <w:r>
        <w:rPr>
          <w:rFonts w:cs="Times New Roman"/>
        </w:rPr>
        <w:t>:</w:t>
      </w:r>
      <w:bookmarkEnd w:id="91"/>
      <w:bookmarkEnd w:id="92"/>
      <w:bookmarkEnd w:id="93"/>
    </w:p>
    <w:p w:rsidR="003451D7" w:rsidRDefault="00715CE0">
      <w:pPr>
        <w:pStyle w:val="ListParagraph"/>
        <w:numPr>
          <w:ilvl w:val="0"/>
          <w:numId w:val="4"/>
        </w:numPr>
        <w:tabs>
          <w:tab w:val="left" w:pos="1710"/>
        </w:tabs>
        <w:spacing w:line="240" w:lineRule="auto"/>
        <w:rPr>
          <w:rFonts w:ascii="Times New Roman" w:hAnsi="Times New Roman" w:cs="Times New Roman"/>
          <w:sz w:val="24"/>
          <w:szCs w:val="24"/>
        </w:rPr>
      </w:pPr>
      <w:r>
        <w:rPr>
          <w:rFonts w:ascii="Times New Roman" w:hAnsi="Times New Roman" w:cs="Times New Roman"/>
          <w:sz w:val="24"/>
          <w:szCs w:val="24"/>
          <w:lang w:val="zh-CN"/>
        </w:rPr>
        <w:t>Isocratic HPLC system</w:t>
      </w:r>
    </w:p>
    <w:p w:rsidR="003451D7" w:rsidRDefault="00715CE0">
      <w:pPr>
        <w:pStyle w:val="ListParagraph"/>
        <w:numPr>
          <w:ilvl w:val="0"/>
          <w:numId w:val="4"/>
        </w:numPr>
        <w:tabs>
          <w:tab w:val="left" w:pos="1710"/>
        </w:tabs>
        <w:spacing w:line="240" w:lineRule="auto"/>
        <w:rPr>
          <w:rFonts w:ascii="Times New Roman" w:hAnsi="Times New Roman" w:cs="Times New Roman"/>
          <w:sz w:val="24"/>
          <w:szCs w:val="24"/>
        </w:rPr>
      </w:pPr>
      <w:r>
        <w:rPr>
          <w:rFonts w:ascii="Times New Roman" w:hAnsi="Times New Roman" w:cs="Times New Roman"/>
          <w:sz w:val="24"/>
          <w:szCs w:val="24"/>
          <w:lang w:val="zh-CN"/>
        </w:rPr>
        <w:t xml:space="preserve">Temperature: 30 </w:t>
      </w:r>
      <w:r>
        <w:rPr>
          <w:rFonts w:ascii="Times New Roman" w:hAnsi="Times New Roman" w:cs="Times New Roman"/>
          <w:b/>
          <w:bCs/>
          <w:i/>
          <w:iCs/>
          <w:sz w:val="24"/>
          <w:szCs w:val="24"/>
          <w:vertAlign w:val="superscript"/>
          <w:lang w:val="zh-CN"/>
        </w:rPr>
        <w:t>◦</w:t>
      </w:r>
      <w:r>
        <w:rPr>
          <w:rFonts w:ascii="Times New Roman" w:hAnsi="Times New Roman" w:cs="Times New Roman"/>
          <w:sz w:val="24"/>
          <w:szCs w:val="24"/>
          <w:lang w:val="zh-CN"/>
        </w:rPr>
        <w:t>C</w:t>
      </w:r>
    </w:p>
    <w:p w:rsidR="003451D7" w:rsidRDefault="00715CE0">
      <w:pPr>
        <w:pStyle w:val="ListParagraph"/>
        <w:numPr>
          <w:ilvl w:val="0"/>
          <w:numId w:val="4"/>
        </w:numPr>
        <w:tabs>
          <w:tab w:val="left" w:pos="1710"/>
        </w:tabs>
        <w:spacing w:line="240" w:lineRule="auto"/>
        <w:rPr>
          <w:rFonts w:ascii="Times New Roman" w:hAnsi="Times New Roman" w:cs="Times New Roman"/>
          <w:sz w:val="24"/>
          <w:szCs w:val="24"/>
        </w:rPr>
      </w:pPr>
      <w:r>
        <w:rPr>
          <w:rFonts w:ascii="Times New Roman" w:hAnsi="Times New Roman" w:cs="Times New Roman"/>
          <w:sz w:val="24"/>
          <w:szCs w:val="24"/>
          <w:lang w:val="zh-CN"/>
        </w:rPr>
        <w:t>Wavelength: 2</w:t>
      </w:r>
      <w:r>
        <w:rPr>
          <w:rFonts w:ascii="Times New Roman" w:hAnsi="Times New Roman" w:cs="Times New Roman"/>
          <w:sz w:val="24"/>
          <w:szCs w:val="24"/>
        </w:rPr>
        <w:t>40</w:t>
      </w:r>
      <w:r>
        <w:rPr>
          <w:rFonts w:ascii="Times New Roman" w:hAnsi="Times New Roman" w:cs="Times New Roman"/>
          <w:sz w:val="24"/>
          <w:szCs w:val="24"/>
          <w:lang w:val="zh-CN"/>
        </w:rPr>
        <w:t xml:space="preserve"> nm</w:t>
      </w:r>
    </w:p>
    <w:p w:rsidR="003451D7" w:rsidRDefault="00715CE0">
      <w:pPr>
        <w:pStyle w:val="ListParagraph"/>
        <w:numPr>
          <w:ilvl w:val="0"/>
          <w:numId w:val="4"/>
        </w:numPr>
        <w:tabs>
          <w:tab w:val="left" w:pos="1710"/>
        </w:tabs>
        <w:spacing w:line="240" w:lineRule="auto"/>
        <w:rPr>
          <w:rFonts w:ascii="Times New Roman" w:hAnsi="Times New Roman" w:cs="Times New Roman"/>
          <w:sz w:val="24"/>
          <w:szCs w:val="24"/>
        </w:rPr>
      </w:pPr>
      <w:r>
        <w:rPr>
          <w:rFonts w:ascii="Times New Roman" w:hAnsi="Times New Roman" w:cs="Times New Roman"/>
          <w:sz w:val="24"/>
          <w:szCs w:val="24"/>
          <w:lang w:val="zh-CN"/>
        </w:rPr>
        <w:t>Column: 250 mmL, 4.6 mm ID, C-18, (Octadecyl-silica) ODS, reverse phase</w:t>
      </w:r>
    </w:p>
    <w:p w:rsidR="003451D7" w:rsidRDefault="00715CE0">
      <w:pPr>
        <w:pStyle w:val="ListParagraph"/>
        <w:numPr>
          <w:ilvl w:val="0"/>
          <w:numId w:val="4"/>
        </w:numPr>
        <w:tabs>
          <w:tab w:val="left" w:pos="1710"/>
        </w:tabs>
        <w:spacing w:line="240" w:lineRule="auto"/>
        <w:rPr>
          <w:rFonts w:ascii="Times New Roman" w:hAnsi="Times New Roman" w:cs="Times New Roman"/>
          <w:sz w:val="24"/>
          <w:szCs w:val="24"/>
        </w:rPr>
      </w:pPr>
      <w:r>
        <w:rPr>
          <w:rFonts w:ascii="Times New Roman" w:hAnsi="Times New Roman" w:cs="Times New Roman"/>
          <w:sz w:val="24"/>
          <w:szCs w:val="24"/>
          <w:lang w:val="zh-CN"/>
        </w:rPr>
        <w:t>Flow rate: 1 mL/minute</w:t>
      </w:r>
    </w:p>
    <w:p w:rsidR="003451D7" w:rsidRDefault="00715CE0">
      <w:pPr>
        <w:pStyle w:val="ListParagraph"/>
        <w:numPr>
          <w:ilvl w:val="0"/>
          <w:numId w:val="4"/>
        </w:numPr>
        <w:tabs>
          <w:tab w:val="left" w:pos="1710"/>
        </w:tabs>
        <w:spacing w:line="240" w:lineRule="auto"/>
        <w:rPr>
          <w:rFonts w:ascii="Times New Roman" w:hAnsi="Times New Roman" w:cs="Times New Roman"/>
          <w:sz w:val="24"/>
          <w:szCs w:val="24"/>
        </w:rPr>
      </w:pPr>
      <w:r>
        <w:rPr>
          <w:rFonts w:ascii="Times New Roman" w:hAnsi="Times New Roman" w:cs="Times New Roman"/>
          <w:sz w:val="24"/>
          <w:szCs w:val="24"/>
          <w:lang w:val="zh-CN"/>
        </w:rPr>
        <w:t>Mobile phase: methanol: water mixture (40:60)</w:t>
      </w:r>
    </w:p>
    <w:p w:rsidR="003451D7" w:rsidRDefault="00715CE0">
      <w:pPr>
        <w:pStyle w:val="ListParagraph"/>
        <w:numPr>
          <w:ilvl w:val="0"/>
          <w:numId w:val="4"/>
        </w:numPr>
        <w:tabs>
          <w:tab w:val="left" w:pos="1710"/>
        </w:tabs>
        <w:spacing w:line="240" w:lineRule="auto"/>
        <w:rPr>
          <w:rFonts w:ascii="Times New Roman" w:hAnsi="Times New Roman" w:cs="Times New Roman"/>
          <w:sz w:val="24"/>
          <w:szCs w:val="24"/>
        </w:rPr>
      </w:pPr>
      <w:r>
        <w:rPr>
          <w:rFonts w:ascii="Times New Roman" w:hAnsi="Times New Roman" w:cs="Times New Roman"/>
          <w:sz w:val="24"/>
          <w:szCs w:val="24"/>
          <w:lang w:val="zh-CN"/>
        </w:rPr>
        <w:t>Detector</w:t>
      </w:r>
      <w:r w:rsidR="00CB5CEC">
        <w:rPr>
          <w:rFonts w:ascii="Times New Roman" w:hAnsi="Times New Roman" w:cs="Times New Roman"/>
          <w:sz w:val="24"/>
          <w:szCs w:val="24"/>
          <w:lang w:val="zh-CN"/>
        </w:rPr>
        <w:t>: UV (ultraviolet)</w:t>
      </w:r>
      <w:r>
        <w:rPr>
          <w:rFonts w:ascii="Times New Roman" w:hAnsi="Times New Roman" w:cs="Times New Roman"/>
          <w:sz w:val="24"/>
          <w:szCs w:val="24"/>
          <w:lang w:val="zh-CN"/>
        </w:rPr>
        <w:t>, with range 190–700 nm</w:t>
      </w:r>
    </w:p>
    <w:p w:rsidR="003451D7" w:rsidRDefault="00715CE0">
      <w:pPr>
        <w:pStyle w:val="ListParagraph"/>
        <w:numPr>
          <w:ilvl w:val="0"/>
          <w:numId w:val="4"/>
        </w:numPr>
        <w:tabs>
          <w:tab w:val="left" w:pos="1710"/>
        </w:tabs>
        <w:spacing w:line="240" w:lineRule="auto"/>
        <w:rPr>
          <w:rFonts w:ascii="Times New Roman" w:hAnsi="Times New Roman" w:cs="Times New Roman"/>
          <w:sz w:val="24"/>
          <w:szCs w:val="24"/>
        </w:rPr>
      </w:pPr>
      <w:r>
        <w:rPr>
          <w:rFonts w:ascii="Times New Roman" w:hAnsi="Times New Roman" w:cs="Times New Roman"/>
          <w:sz w:val="24"/>
          <w:szCs w:val="24"/>
          <w:lang w:val="zh-CN"/>
        </w:rPr>
        <w:t>Extraction: Liquid/liquid extraction</w:t>
      </w:r>
    </w:p>
    <w:p w:rsidR="003451D7" w:rsidRDefault="00715CE0">
      <w:pPr>
        <w:pStyle w:val="ListParagraph"/>
        <w:numPr>
          <w:ilvl w:val="0"/>
          <w:numId w:val="4"/>
        </w:numPr>
        <w:spacing w:before="240" w:line="360" w:lineRule="auto"/>
        <w:jc w:val="both"/>
        <w:rPr>
          <w:rFonts w:ascii="Times New Roman" w:hAnsi="Times New Roman" w:cs="Times New Roman"/>
          <w:b/>
          <w:bCs/>
          <w:i/>
          <w:iCs/>
          <w:sz w:val="24"/>
          <w:szCs w:val="24"/>
        </w:rPr>
      </w:pPr>
      <w:r>
        <w:rPr>
          <w:rFonts w:ascii="Times New Roman" w:hAnsi="Times New Roman" w:cs="Times New Roman"/>
          <w:sz w:val="24"/>
          <w:szCs w:val="24"/>
          <w:lang w:val="zh-CN"/>
        </w:rPr>
        <w:t>Pump: Reciprocating pump</w:t>
      </w:r>
    </w:p>
    <w:p w:rsidR="003451D7" w:rsidRDefault="00715CE0">
      <w:pPr>
        <w:pStyle w:val="Heading3"/>
        <w:rPr>
          <w:rFonts w:cs="Times New Roman"/>
        </w:rPr>
      </w:pPr>
      <w:bookmarkStart w:id="94" w:name="_Toc202982296"/>
      <w:bookmarkStart w:id="95" w:name="_Toc208820404"/>
      <w:bookmarkStart w:id="96" w:name="_Toc202990365"/>
      <w:r>
        <w:rPr>
          <w:rFonts w:cs="Times New Roman"/>
        </w:rPr>
        <w:lastRenderedPageBreak/>
        <w:t>Preparation of Standard and its Stock Solution:</w:t>
      </w:r>
      <w:bookmarkEnd w:id="94"/>
      <w:bookmarkEnd w:id="95"/>
      <w:bookmarkEnd w:id="96"/>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1 gram of steroids was taken and dissolved in 100 mL of ethanol to prepare a standard solution. Betamethasone and cortisone were added as internal standards (ISTD). To prevent deterioration and exposure to light, the standard stock solution was stored in amber glass vials.</w:t>
      </w:r>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97" w:name="_Toc202982297"/>
      <w:bookmarkStart w:id="98" w:name="_Toc202990366"/>
      <w:bookmarkStart w:id="99" w:name="_Toc208820405"/>
      <w:r>
        <w:rPr>
          <w:rFonts w:cs="Times New Roman"/>
        </w:rPr>
        <w:t>Mobile Phase Preparation:</w:t>
      </w:r>
      <w:bookmarkEnd w:id="97"/>
      <w:bookmarkEnd w:id="98"/>
      <w:bookmarkEnd w:id="99"/>
    </w:p>
    <w:p w:rsidR="003451D7" w:rsidRDefault="00715CE0">
      <w:pPr>
        <w:tabs>
          <w:tab w:val="left" w:pos="1710"/>
        </w:tabs>
        <w:spacing w:line="360" w:lineRule="auto"/>
        <w:jc w:val="both"/>
        <w:rPr>
          <w:rFonts w:ascii="Times New Roman" w:hAnsi="Times New Roman" w:cs="Times New Roman"/>
          <w:sz w:val="24"/>
          <w:szCs w:val="24"/>
          <w:lang w:val="zh-CN"/>
        </w:rPr>
      </w:pPr>
      <w:r>
        <w:rPr>
          <w:rFonts w:ascii="Times New Roman" w:hAnsi="Times New Roman" w:cs="Times New Roman"/>
          <w:sz w:val="24"/>
          <w:szCs w:val="24"/>
          <w:lang w:val="zh-CN"/>
        </w:rPr>
        <w:t>The mobile phase was prepared as a mixture (acetonitrile:methanol: water mixture 40:40:20) by adding about 100 mL methanol solution to about 150 mL of DW and then heating after which it was kept to cool at room temperature after about 20 min, then the solution was sonicated in the ultrasonic bath to degas the mobile phase.</w:t>
      </w:r>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100" w:name="_Toc202990367"/>
      <w:bookmarkStart w:id="101" w:name="_Toc208820406"/>
      <w:bookmarkStart w:id="102" w:name="_Toc202982298"/>
      <w:r>
        <w:rPr>
          <w:rFonts w:cs="Times New Roman"/>
        </w:rPr>
        <w:t>Preparation of Face Wash Sample:</w:t>
      </w:r>
      <w:bookmarkEnd w:id="100"/>
      <w:bookmarkEnd w:id="101"/>
      <w:bookmarkEnd w:id="102"/>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 5g sample of </w:t>
      </w:r>
      <w:r>
        <w:rPr>
          <w:rFonts w:ascii="Times New Roman" w:eastAsia="Times New Roman" w:hAnsi="Times New Roman" w:cs="Times New Roman"/>
          <w:color w:val="0E101A"/>
          <w:sz w:val="24"/>
          <w:szCs w:val="24"/>
        </w:rPr>
        <w:t>FW</w:t>
      </w:r>
      <w:r>
        <w:rPr>
          <w:rFonts w:ascii="Times New Roman" w:hAnsi="Times New Roman" w:cs="Times New Roman"/>
          <w:sz w:val="24"/>
          <w:szCs w:val="24"/>
        </w:rPr>
        <w:t xml:space="preserve"> was precisely weighed using an analytical balance and diluted with 15 mL of mobile phase. The mixture was homogenized at 60 °C for 30 minutes on a hot plate. Fats and waxes precipitated and were filtered out using filter paper. The filtrate was then diluted to 25 mL with mobile phase in a measuring flask and used as the sample.</w:t>
      </w:r>
    </w:p>
    <w:p w:rsidR="003451D7" w:rsidRDefault="003451D7">
      <w:pPr>
        <w:spacing w:before="240" w:line="360" w:lineRule="auto"/>
        <w:jc w:val="both"/>
        <w:rPr>
          <w:rFonts w:ascii="Times New Roman" w:hAnsi="Times New Roman" w:cs="Times New Roman"/>
          <w:sz w:val="24"/>
          <w:szCs w:val="24"/>
        </w:rPr>
      </w:pPr>
    </w:p>
    <w:p w:rsidR="003451D7" w:rsidRDefault="00CB5CEC">
      <w:pPr>
        <w:pStyle w:val="Heading3"/>
        <w:rPr>
          <w:rFonts w:cs="Times New Roman"/>
        </w:rPr>
      </w:pPr>
      <w:bookmarkStart w:id="103" w:name="_Toc202990368"/>
      <w:bookmarkStart w:id="104" w:name="_Toc208820407"/>
      <w:bookmarkStart w:id="105" w:name="_Toc202982299"/>
      <w:r>
        <w:rPr>
          <w:rFonts w:cs="Times New Roman"/>
        </w:rPr>
        <w:t>UV-</w:t>
      </w:r>
      <w:r w:rsidR="00715CE0">
        <w:rPr>
          <w:rFonts w:cs="Times New Roman"/>
        </w:rPr>
        <w:t>High Performance Liquid Chromatography Procedure:</w:t>
      </w:r>
      <w:bookmarkEnd w:id="103"/>
      <w:bookmarkEnd w:id="104"/>
      <w:bookmarkEnd w:id="105"/>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Introduced the mobile phase into the HPLC for 30 minutes to stabilize the baseline. Injected 20 µL of steroid standard solutions and recorded chromatograms at wavelengths of 240 nm and constructed a calibration curve by plotting peak areas against sample concentrations. Filtered the sample through a 0.45 µm filter to remove particulates, and then injected the sample into the HPLC system to record the calibration curve and calculate the concentration of steroids. The percentage of steroids were calculated by using the following equation:</w:t>
      </w:r>
    </w:p>
    <w:p w:rsidR="003451D7" w:rsidRDefault="00715CE0">
      <w:pPr>
        <w:tabs>
          <w:tab w:val="left" w:pos="1710"/>
        </w:tabs>
        <w:spacing w:before="240" w:line="360" w:lineRule="auto"/>
        <w:jc w:val="both"/>
        <w:rPr>
          <w:rFonts w:ascii="Times New Roman" w:hAnsi="Times New Roman" w:cs="Times New Roman"/>
          <w:sz w:val="24"/>
          <w:szCs w:val="24"/>
        </w:rPr>
      </w:pPr>
      <m:oMathPara>
        <m:oMath>
          <m:r>
            <m:rPr>
              <m:nor/>
            </m:rPr>
            <w:rPr>
              <w:rFonts w:ascii="Cambria Math" w:hAnsi="Cambria Math" w:cs="Times New Roman"/>
              <w:sz w:val="24"/>
              <w:szCs w:val="24"/>
            </w:rPr>
            <m:t>%</m:t>
          </m:r>
          <m:r>
            <m:rPr>
              <m:nor/>
            </m:rPr>
            <w:rPr>
              <w:rFonts w:ascii="Cambria Math" w:hAnsi="Cambria Math" w:cs="Times New Roman"/>
              <w:i/>
              <w:sz w:val="24"/>
              <w:szCs w:val="24"/>
            </w:rPr>
            <m:t>age</m:t>
          </m:r>
          <m:r>
            <m:rPr>
              <m:nor/>
            </m:rPr>
            <w:rPr>
              <w:rFonts w:ascii="Cambria Math" w:hAnsi="Cambria Math" w:cs="Times New Roman"/>
              <w:sz w:val="24"/>
              <w:szCs w:val="24"/>
            </w:rPr>
            <m:t xml:space="preserve"> </m:t>
          </m:r>
          <m:r>
            <m:rPr>
              <m:nor/>
            </m:rPr>
            <w:rPr>
              <w:rFonts w:ascii="Cambria Math" w:hAnsi="Cambria Math" w:cs="Times New Roman"/>
              <w:i/>
              <w:sz w:val="24"/>
              <w:szCs w:val="24"/>
            </w:rPr>
            <m:t>of</m:t>
          </m:r>
          <m:r>
            <m:rPr>
              <m:nor/>
            </m:rPr>
            <w:rPr>
              <w:rFonts w:ascii="Cambria Math" w:hAnsi="Cambria Math" w:cs="Times New Roman"/>
              <w:sz w:val="24"/>
              <w:szCs w:val="24"/>
            </w:rPr>
            <m:t xml:space="preserve"> </m:t>
          </m:r>
          <m:r>
            <m:rPr>
              <m:nor/>
            </m:rPr>
            <w:rPr>
              <w:rFonts w:ascii="Cambria Math" w:hAnsi="Cambria Math" w:cs="Times New Roman"/>
              <w:i/>
              <w:sz w:val="24"/>
              <w:szCs w:val="24"/>
            </w:rPr>
            <m:t>steroid</m:t>
          </m:r>
          <m:r>
            <m:rPr>
              <m:nor/>
            </m:rPr>
            <w:rPr>
              <w:rFonts w:ascii="Cambria Math" w:hAnsi="Cambria Math" w:cs="Times New Roman"/>
              <w:sz w:val="24"/>
              <w:szCs w:val="24"/>
            </w:rPr>
            <m:t>=</m:t>
          </m:r>
          <m:f>
            <m:fPr>
              <m:ctrlPr>
                <w:rPr>
                  <w:rFonts w:ascii="Cambria Math" w:hAnsi="Cambria Math" w:cs="Times New Roman"/>
                  <w:i/>
                  <w:sz w:val="24"/>
                  <w:szCs w:val="24"/>
                </w:rPr>
              </m:ctrlPr>
            </m:fPr>
            <m:num>
              <m:r>
                <m:rPr>
                  <m:nor/>
                </m:rPr>
                <w:rPr>
                  <w:rFonts w:ascii="Cambria Math" w:hAnsi="Cambria Math" w:cs="Times New Roman"/>
                  <w:i/>
                  <w:sz w:val="24"/>
                  <w:szCs w:val="24"/>
                </w:rPr>
                <m:t>Area</m:t>
              </m:r>
              <m:r>
                <m:rPr>
                  <m:nor/>
                </m:rPr>
                <w:rPr>
                  <w:rFonts w:ascii="Cambria Math" w:hAnsi="Cambria Math" w:cs="Times New Roman"/>
                  <w:sz w:val="24"/>
                  <w:szCs w:val="24"/>
                </w:rPr>
                <m:t xml:space="preserve"> </m:t>
              </m:r>
              <m:r>
                <m:rPr>
                  <m:nor/>
                </m:rPr>
                <w:rPr>
                  <w:rFonts w:ascii="Cambria Math" w:hAnsi="Cambria Math" w:cs="Times New Roman"/>
                  <w:i/>
                  <w:sz w:val="24"/>
                  <w:szCs w:val="24"/>
                </w:rPr>
                <m:t>of</m:t>
              </m:r>
              <m:r>
                <m:rPr>
                  <m:nor/>
                </m:rPr>
                <w:rPr>
                  <w:rFonts w:ascii="Cambria Math" w:hAnsi="Cambria Math" w:cs="Times New Roman"/>
                  <w:sz w:val="24"/>
                  <w:szCs w:val="24"/>
                </w:rPr>
                <m:t xml:space="preserve"> </m:t>
              </m:r>
              <m:r>
                <m:rPr>
                  <m:nor/>
                </m:rPr>
                <w:rPr>
                  <w:rFonts w:ascii="Cambria Math" w:hAnsi="Cambria Math" w:cs="Times New Roman"/>
                  <w:i/>
                  <w:sz w:val="24"/>
                  <w:szCs w:val="24"/>
                </w:rPr>
                <m:t>Sample</m:t>
              </m:r>
            </m:num>
            <m:den>
              <m:r>
                <m:rPr>
                  <m:nor/>
                </m:rPr>
                <w:rPr>
                  <w:rFonts w:ascii="Cambria Math" w:hAnsi="Cambria Math" w:cs="Times New Roman"/>
                  <w:i/>
                  <w:sz w:val="24"/>
                  <w:szCs w:val="24"/>
                </w:rPr>
                <m:t>Area</m:t>
              </m:r>
              <m:r>
                <m:rPr>
                  <m:nor/>
                </m:rPr>
                <w:rPr>
                  <w:rFonts w:ascii="Cambria Math" w:hAnsi="Cambria Math" w:cs="Times New Roman"/>
                  <w:sz w:val="24"/>
                  <w:szCs w:val="24"/>
                </w:rPr>
                <m:t xml:space="preserve"> </m:t>
              </m:r>
              <m:r>
                <m:rPr>
                  <m:nor/>
                </m:rPr>
                <w:rPr>
                  <w:rFonts w:ascii="Cambria Math" w:hAnsi="Cambria Math" w:cs="Times New Roman"/>
                  <w:i/>
                  <w:sz w:val="24"/>
                  <w:szCs w:val="24"/>
                </w:rPr>
                <m:t>of</m:t>
              </m:r>
              <m:r>
                <m:rPr>
                  <m:nor/>
                </m:rPr>
                <w:rPr>
                  <w:rFonts w:ascii="Cambria Math" w:hAnsi="Cambria Math" w:cs="Times New Roman"/>
                  <w:sz w:val="24"/>
                  <w:szCs w:val="24"/>
                </w:rPr>
                <m:t xml:space="preserve"> </m:t>
              </m:r>
              <m:r>
                <m:rPr>
                  <m:nor/>
                </m:rPr>
                <w:rPr>
                  <w:rFonts w:ascii="Cambria Math" w:hAnsi="Cambria Math" w:cs="Times New Roman"/>
                  <w:i/>
                  <w:sz w:val="24"/>
                  <w:szCs w:val="24"/>
                </w:rPr>
                <m:t>Standard</m:t>
              </m:r>
            </m:den>
          </m:f>
          <m:r>
            <m:rPr>
              <m:nor/>
            </m:rPr>
            <w:rPr>
              <w:rFonts w:ascii="Cambria Math" w:hAnsi="Cambria Math" w:cs="Times New Roman"/>
              <w:sz w:val="24"/>
              <w:szCs w:val="24"/>
            </w:rPr>
            <m:t xml:space="preserve"> </m:t>
          </m:r>
          <m:r>
            <m:rPr>
              <m:nor/>
            </m:rPr>
            <w:rPr>
              <w:rFonts w:ascii="Cambria Math" w:hAnsi="Cambria Math" w:cs="Times New Roman"/>
              <w:i/>
              <w:sz w:val="24"/>
              <w:szCs w:val="24"/>
            </w:rPr>
            <m:t>x</m:t>
          </m:r>
          <m:r>
            <m:rPr>
              <m:nor/>
            </m:rPr>
            <w:rPr>
              <w:rFonts w:ascii="Cambria Math" w:hAnsi="Cambria Math" w:cs="Times New Roman"/>
              <w:sz w:val="24"/>
              <w:szCs w:val="24"/>
            </w:rPr>
            <m:t xml:space="preserve"> 100</m:t>
          </m:r>
        </m:oMath>
      </m:oMathPara>
    </w:p>
    <w:p w:rsidR="003451D7" w:rsidRDefault="003451D7">
      <w:pPr>
        <w:spacing w:before="240" w:line="360" w:lineRule="auto"/>
        <w:jc w:val="both"/>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lastRenderedPageBreak/>
        <w:drawing>
          <wp:inline distT="0" distB="0" distL="0" distR="0">
            <wp:extent cx="4608830" cy="3456940"/>
            <wp:effectExtent l="0" t="0" r="1270" b="0"/>
            <wp:docPr id="9607486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748648" name="Picture 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4608830" cy="3456940"/>
                    </a:xfrm>
                    <a:prstGeom prst="rect">
                      <a:avLst/>
                    </a:prstGeom>
                    <a:noFill/>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106" w:name="_Toc204038287"/>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.5 </w:t>
      </w:r>
      <w:r>
        <w:rPr>
          <w:rFonts w:ascii="Times New Roman" w:hAnsi="Times New Roman" w:cs="Times New Roman"/>
          <w:color w:val="auto"/>
          <w:sz w:val="22"/>
          <w:szCs w:val="22"/>
        </w:rPr>
        <w:t>Samples detection on HPLC (a)</w:t>
      </w:r>
      <w:bookmarkEnd w:id="106"/>
    </w:p>
    <w:p w:rsidR="003451D7" w:rsidRDefault="00715CE0">
      <w:pPr>
        <w:pStyle w:val="Caption"/>
        <w:rPr>
          <w:rFonts w:ascii="Times New Roman" w:hAnsi="Times New Roman" w:cs="Times New Roman"/>
          <w:b/>
          <w:bCs/>
          <w:i w:val="0"/>
          <w:sz w:val="22"/>
          <w:szCs w:val="22"/>
        </w:rPr>
      </w:pPr>
      <w:r>
        <w:rPr>
          <w:rFonts w:ascii="Times New Roman" w:hAnsi="Times New Roman" w:cs="Times New Roman"/>
          <w:b/>
          <w:bCs/>
          <w:i w:val="0"/>
          <w:sz w:val="22"/>
          <w:szCs w:val="22"/>
        </w:rPr>
        <w:t xml:space="preserve"> </w:t>
      </w: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lastRenderedPageBreak/>
        <w:drawing>
          <wp:inline distT="0" distB="0" distL="0" distR="0">
            <wp:extent cx="5322570" cy="3993515"/>
            <wp:effectExtent l="0" t="0" r="0" b="6985"/>
            <wp:docPr id="13575321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532129"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a:xfrm>
                      <a:off x="0" y="0"/>
                      <a:ext cx="5322570" cy="3993515"/>
                    </a:xfrm>
                    <a:prstGeom prst="rect">
                      <a:avLst/>
                    </a:prstGeom>
                    <a:noFill/>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107" w:name="_Toc204038288"/>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.6 </w:t>
      </w:r>
      <w:r>
        <w:rPr>
          <w:rFonts w:ascii="Times New Roman" w:hAnsi="Times New Roman" w:cs="Times New Roman"/>
          <w:color w:val="auto"/>
          <w:sz w:val="22"/>
          <w:szCs w:val="22"/>
        </w:rPr>
        <w:t>Samples detection on HPLC (b)</w:t>
      </w:r>
      <w:bookmarkEnd w:id="107"/>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2"/>
        <w:rPr>
          <w:rFonts w:cs="Times New Roman"/>
        </w:rPr>
      </w:pPr>
      <w:bookmarkStart w:id="108" w:name="_Toc208820408"/>
      <w:bookmarkStart w:id="109" w:name="_Toc202982300"/>
      <w:bookmarkStart w:id="110" w:name="_Toc202990369"/>
      <w:r>
        <w:rPr>
          <w:rFonts w:cs="Times New Roman"/>
        </w:rPr>
        <w:t>Health Risk Assessment:</w:t>
      </w:r>
      <w:bookmarkEnd w:id="108"/>
      <w:bookmarkEnd w:id="109"/>
      <w:bookmarkEnd w:id="110"/>
    </w:p>
    <w:p w:rsidR="003451D7" w:rsidRDefault="00715CE0">
      <w:pPr>
        <w:spacing w:before="240" w:line="360" w:lineRule="auto"/>
        <w:jc w:val="both"/>
        <w:rPr>
          <w:rFonts w:ascii="Times New Roman" w:hAnsi="Times New Roman" w:cs="Times New Roman"/>
          <w:b/>
          <w:bCs/>
          <w:sz w:val="24"/>
          <w:szCs w:val="24"/>
        </w:rPr>
      </w:pPr>
      <w:r>
        <w:rPr>
          <w:rFonts w:ascii="Times New Roman" w:hAnsi="Times New Roman" w:cs="Times New Roman"/>
          <w:sz w:val="24"/>
          <w:szCs w:val="24"/>
        </w:rPr>
        <w:t>The Chronic Daily Intake (CDI) measures the amount of a substance to which a person is exposed daily over an extended period, primarily through skin absorption. Each variable in the formula represents an important factor in this exposure route. CS indicates the concentration of the contaminant in the samples that come into contact with the skin. SA signifies the part of the body surface exposed to the contaminant, while AF indicates how much of the sample containing the contaminant sticks to the skin. ABS is a key parameter, showing the percentage of the contaminant that penetrates the skin and enters the bloodstream. EF and ED describe the timing of exposure, indicating how often and for how long contact occurs. CF ensures consistency in units across all parameters. Finally, AT and BW divide the consumption during the exposure period and to the body weight of the person, respectively, giving a value of chronic daily intake per kilogram of body weight.</w:t>
      </w:r>
    </w:p>
    <w:p w:rsidR="003451D7" w:rsidRDefault="003451D7">
      <w:pPr>
        <w:pStyle w:val="NormalWeb"/>
        <w:spacing w:before="240" w:beforeAutospacing="0" w:after="240" w:afterAutospacing="0" w:line="360" w:lineRule="auto"/>
        <w:jc w:val="both"/>
      </w:pPr>
    </w:p>
    <w:p w:rsidR="003451D7" w:rsidRDefault="00715CE0">
      <w:pPr>
        <w:pStyle w:val="NormalWeb"/>
        <w:spacing w:before="240" w:beforeAutospacing="0" w:after="240" w:afterAutospacing="0" w:line="360" w:lineRule="auto"/>
        <w:ind w:left="720"/>
        <w:jc w:val="both"/>
      </w:pPr>
      <m:oMathPara>
        <m:oMath>
          <m:r>
            <m:rPr>
              <m:sty m:val="b"/>
            </m:rPr>
            <w:rPr>
              <w:rFonts w:ascii="Cambria Math" w:hAnsi="Cambria Math"/>
            </w:rPr>
            <m:t xml:space="preserve">CDI= </m:t>
          </m:r>
          <m:f>
            <m:fPr>
              <m:ctrlPr>
                <w:rPr>
                  <w:rFonts w:ascii="Cambria Math" w:hAnsi="Cambria Math"/>
                </w:rPr>
              </m:ctrlPr>
            </m:fPr>
            <m:num>
              <m:r>
                <m:rPr>
                  <m:sty m:val="p"/>
                </m:rPr>
                <w:rPr>
                  <w:rFonts w:ascii="Cambria Math" w:hAnsi="Cambria Math"/>
                </w:rPr>
                <m:t>CS×SA×AF×ABS×EF×ED×CF</m:t>
              </m:r>
            </m:num>
            <m:den>
              <m:r>
                <m:rPr>
                  <m:sty m:val="p"/>
                </m:rPr>
                <w:rPr>
                  <w:rFonts w:ascii="Cambria Math" w:hAnsi="Cambria Math"/>
                </w:rPr>
                <m:t>AT×BW</m:t>
              </m:r>
            </m:den>
          </m:f>
        </m:oMath>
      </m:oMathPara>
    </w:p>
    <w:p w:rsidR="003451D7" w:rsidRDefault="00715CE0">
      <w:pPr>
        <w:pStyle w:val="NormalWeb"/>
        <w:spacing w:before="0" w:beforeAutospacing="0" w:after="0" w:afterAutospacing="0"/>
        <w:jc w:val="both"/>
        <w:rPr>
          <w:b/>
          <w:bCs/>
          <w:sz w:val="22"/>
          <w:szCs w:val="22"/>
        </w:rPr>
      </w:pPr>
      <w:r>
        <w:rPr>
          <w:b/>
          <w:bCs/>
          <w:sz w:val="22"/>
          <w:szCs w:val="22"/>
        </w:rPr>
        <w:t>Where:</w:t>
      </w:r>
    </w:p>
    <w:p w:rsidR="003451D7" w:rsidRDefault="00715CE0">
      <w:pPr>
        <w:pStyle w:val="NormalWeb"/>
        <w:spacing w:before="0" w:beforeAutospacing="0" w:after="0" w:afterAutospacing="0"/>
        <w:jc w:val="both"/>
      </w:pPr>
      <w:r>
        <w:rPr>
          <w:rStyle w:val="Strong"/>
          <w:rFonts w:eastAsiaTheme="majorEastAsia"/>
        </w:rPr>
        <w:t>CS:</w:t>
      </w:r>
      <w:r>
        <w:t xml:space="preserve"> Metal Concentration in the Sample     </w:t>
      </w:r>
      <w:r>
        <w:rPr>
          <w:rStyle w:val="Strong"/>
          <w:rFonts w:eastAsiaTheme="majorEastAsia"/>
        </w:rPr>
        <w:t>SA:</w:t>
      </w:r>
      <w:r>
        <w:t xml:space="preserve"> Exposed Skin Area</w:t>
      </w:r>
      <w:r>
        <w:tab/>
        <w:t xml:space="preserve">   </w:t>
      </w:r>
      <w:r>
        <w:rPr>
          <w:rStyle w:val="Strong"/>
          <w:rFonts w:eastAsiaTheme="majorEastAsia"/>
        </w:rPr>
        <w:t xml:space="preserve">AF: </w:t>
      </w:r>
      <w:r>
        <w:t>Adherence Factor</w:t>
      </w:r>
    </w:p>
    <w:p w:rsidR="003451D7" w:rsidRDefault="00715CE0">
      <w:pPr>
        <w:pStyle w:val="NormalWeb"/>
        <w:spacing w:before="0" w:beforeAutospacing="0" w:after="0" w:afterAutospacing="0"/>
        <w:jc w:val="both"/>
      </w:pPr>
      <w:r>
        <w:rPr>
          <w:rStyle w:val="Strong"/>
          <w:rFonts w:eastAsiaTheme="majorEastAsia"/>
        </w:rPr>
        <w:t>ABS:</w:t>
      </w:r>
      <w:r>
        <w:t xml:space="preserve"> Dermal Absorption Fraction</w:t>
      </w:r>
      <w:r>
        <w:tab/>
        <w:t xml:space="preserve">        </w:t>
      </w:r>
      <w:r>
        <w:rPr>
          <w:rStyle w:val="Strong"/>
          <w:rFonts w:eastAsiaTheme="majorEastAsia"/>
        </w:rPr>
        <w:t>EF:</w:t>
      </w:r>
      <w:r>
        <w:t xml:space="preserve"> Exposure Frequency   </w:t>
      </w:r>
      <w:r>
        <w:rPr>
          <w:rStyle w:val="Strong"/>
          <w:rFonts w:eastAsiaTheme="majorEastAsia"/>
        </w:rPr>
        <w:t>ED:</w:t>
      </w:r>
      <w:r>
        <w:t xml:space="preserve"> Exposure Duration</w:t>
      </w:r>
    </w:p>
    <w:p w:rsidR="003451D7" w:rsidRDefault="00715CE0">
      <w:pPr>
        <w:pStyle w:val="NormalWeb"/>
        <w:spacing w:before="0" w:beforeAutospacing="0" w:after="0" w:afterAutospacing="0"/>
        <w:jc w:val="both"/>
      </w:pPr>
      <w:r>
        <w:rPr>
          <w:rStyle w:val="Strong"/>
          <w:rFonts w:eastAsiaTheme="majorEastAsia"/>
        </w:rPr>
        <w:t>CF:</w:t>
      </w:r>
      <w:r>
        <w:t xml:space="preserve"> Unit Conversion Factor</w:t>
      </w:r>
      <w:r>
        <w:tab/>
      </w:r>
      <w:r>
        <w:tab/>
        <w:t xml:space="preserve">        </w:t>
      </w:r>
      <w:r>
        <w:rPr>
          <w:rStyle w:val="Strong"/>
          <w:rFonts w:eastAsiaTheme="majorEastAsia"/>
        </w:rPr>
        <w:t>AT:</w:t>
      </w:r>
      <w:r>
        <w:t xml:space="preserve"> Averaging Time for Non-carcinogens</w:t>
      </w:r>
    </w:p>
    <w:p w:rsidR="003451D7" w:rsidRDefault="00715CE0">
      <w:pPr>
        <w:pStyle w:val="NormalWeb"/>
        <w:spacing w:before="0" w:beforeAutospacing="0" w:after="0" w:afterAutospacing="0"/>
        <w:jc w:val="both"/>
        <w:rPr>
          <w:rStyle w:val="Strong"/>
          <w:rFonts w:eastAsiaTheme="majorEastAsia"/>
          <w:b w:val="0"/>
          <w:bCs w:val="0"/>
          <w:sz w:val="20"/>
          <w:szCs w:val="20"/>
        </w:rPr>
      </w:pPr>
      <w:r>
        <w:rPr>
          <w:rStyle w:val="Strong"/>
          <w:rFonts w:eastAsiaTheme="majorEastAsia"/>
        </w:rPr>
        <w:t xml:space="preserve">BW: </w:t>
      </w:r>
      <w:r>
        <w:rPr>
          <w:rStyle w:val="Strong"/>
          <w:rFonts w:eastAsiaTheme="majorEastAsia"/>
          <w:b w:val="0"/>
          <w:bCs w:val="0"/>
        </w:rPr>
        <w:t>Body Weight</w:t>
      </w:r>
    </w:p>
    <w:p w:rsidR="003451D7" w:rsidRDefault="00715CE0">
      <w:pPr>
        <w:pStyle w:val="NormalWeb"/>
        <w:spacing w:after="200" w:line="360" w:lineRule="auto"/>
        <w:jc w:val="both"/>
      </w:pPr>
      <w:r>
        <w:t>The long-term exposure potential negative health impacts are evaluated by the use of Hazard Quotient (HQ) formula. The HQ compares the calculated CDI against the Absorbed Reference Dose of Dermal Exposure, or rather the "RfDderm". RfDderm is a major reference toxicology point, which is an estimation of a daily dermal contact with substance that has the ability of not producing harmful effects throughout a lifetime. HQ value above 1 usually means that the estimated exposure is higher than the reference dose and there is a potential risk of an adverse health effect and in such case further study or risk management should be conducted. HQ of 1 and less usually shows that the exposure is less than the level where effects are anticipated. The combination of these formulas offers a methodological way to assess and control risks of dermal exposure to environmental contaminants hence improving the protection of the health of the population.</w:t>
      </w:r>
    </w:p>
    <w:p w:rsidR="003451D7" w:rsidRDefault="003451D7">
      <w:pPr>
        <w:pStyle w:val="NormalWeb"/>
        <w:spacing w:before="240" w:beforeAutospacing="0" w:after="240" w:afterAutospacing="0" w:line="360" w:lineRule="auto"/>
        <w:jc w:val="both"/>
      </w:pPr>
    </w:p>
    <w:p w:rsidR="003451D7" w:rsidRDefault="00715CE0">
      <w:pPr>
        <w:pStyle w:val="NormalWeb"/>
        <w:spacing w:before="240" w:beforeAutospacing="0" w:after="240" w:afterAutospacing="0" w:line="360" w:lineRule="auto"/>
        <w:jc w:val="both"/>
      </w:pPr>
      <m:oMathPara>
        <m:oMath>
          <m:r>
            <m:rPr>
              <m:sty m:val="bi"/>
            </m:rPr>
            <w:rPr>
              <w:rFonts w:ascii="Cambria Math" w:hAnsi="Cambria Math"/>
            </w:rPr>
            <m:t>HQ</m:t>
          </m:r>
          <m:r>
            <w:rPr>
              <w:rFonts w:ascii="Cambria Math" w:hAnsi="Cambria Math"/>
            </w:rPr>
            <m:t xml:space="preserve">= </m:t>
          </m:r>
          <m:f>
            <m:fPr>
              <m:ctrlPr>
                <w:rPr>
                  <w:rFonts w:ascii="Cambria Math" w:hAnsi="Cambria Math"/>
                  <w:i/>
                </w:rPr>
              </m:ctrlPr>
            </m:fPr>
            <m:num>
              <m:r>
                <w:rPr>
                  <w:rFonts w:ascii="Cambria Math" w:hAnsi="Cambria Math"/>
                </w:rPr>
                <m:t>CDI</m:t>
              </m:r>
            </m:num>
            <m:den>
              <m:r>
                <w:rPr>
                  <w:rFonts w:ascii="Cambria Math" w:hAnsi="Cambria Math"/>
                </w:rPr>
                <m:t>RfDderm</m:t>
              </m:r>
            </m:den>
          </m:f>
        </m:oMath>
      </m:oMathPara>
    </w:p>
    <w:p w:rsidR="003451D7" w:rsidRDefault="00715CE0">
      <w:pPr>
        <w:pStyle w:val="NormalWeb"/>
        <w:spacing w:before="0" w:beforeAutospacing="0" w:after="0" w:afterAutospacing="0"/>
        <w:jc w:val="both"/>
        <w:rPr>
          <w:b/>
          <w:bCs/>
          <w:sz w:val="22"/>
          <w:szCs w:val="22"/>
        </w:rPr>
      </w:pPr>
      <w:r>
        <w:rPr>
          <w:b/>
          <w:bCs/>
          <w:sz w:val="22"/>
          <w:szCs w:val="22"/>
        </w:rPr>
        <w:t>Where:</w:t>
      </w:r>
    </w:p>
    <w:p w:rsidR="003451D7" w:rsidRDefault="00715CE0">
      <w:pPr>
        <w:pStyle w:val="NormalWeb"/>
        <w:spacing w:before="0" w:beforeAutospacing="0" w:after="0" w:afterAutospacing="0"/>
        <w:jc w:val="both"/>
        <w:rPr>
          <w:sz w:val="18"/>
          <w:szCs w:val="18"/>
        </w:rPr>
      </w:pPr>
      <w:r>
        <w:rPr>
          <w:b/>
          <w:bCs/>
          <w:sz w:val="18"/>
          <w:szCs w:val="18"/>
        </w:rPr>
        <w:t>CDI:</w:t>
      </w:r>
      <w:r>
        <w:rPr>
          <w:sz w:val="18"/>
          <w:szCs w:val="18"/>
        </w:rPr>
        <w:t xml:space="preserve"> Chronic Daily Intake</w:t>
      </w:r>
      <w:r>
        <w:rPr>
          <w:sz w:val="18"/>
          <w:szCs w:val="18"/>
        </w:rPr>
        <w:tab/>
      </w:r>
      <w:r>
        <w:rPr>
          <w:sz w:val="18"/>
          <w:szCs w:val="18"/>
        </w:rPr>
        <w:tab/>
      </w:r>
      <w:r>
        <w:rPr>
          <w:sz w:val="18"/>
          <w:szCs w:val="18"/>
        </w:rPr>
        <w:tab/>
      </w:r>
      <w:r>
        <w:rPr>
          <w:sz w:val="18"/>
          <w:szCs w:val="18"/>
        </w:rPr>
        <w:tab/>
      </w:r>
      <w:r>
        <w:rPr>
          <w:rStyle w:val="Strong"/>
          <w:rFonts w:eastAsiaTheme="majorEastAsia"/>
          <w:sz w:val="18"/>
          <w:szCs w:val="18"/>
        </w:rPr>
        <w:t>RfDderm:</w:t>
      </w:r>
      <w:r>
        <w:rPr>
          <w:rStyle w:val="Strong"/>
          <w:rFonts w:eastAsiaTheme="majorEastAsia"/>
          <w:b w:val="0"/>
          <w:bCs w:val="0"/>
          <w:sz w:val="18"/>
          <w:szCs w:val="18"/>
        </w:rPr>
        <w:t xml:space="preserve"> Absorbed Reference Dose for Dermal Exposure</w:t>
      </w:r>
    </w:p>
    <w:p w:rsidR="003451D7" w:rsidRDefault="003451D7">
      <w:pPr>
        <w:spacing w:before="240" w:line="360" w:lineRule="auto"/>
        <w:rPr>
          <w:rFonts w:ascii="Times New Roman" w:hAnsi="Times New Roman" w:cs="Times New Roman"/>
          <w:sz w:val="24"/>
          <w:szCs w:val="24"/>
        </w:rPr>
      </w:pPr>
    </w:p>
    <w:p w:rsidR="003451D7" w:rsidRDefault="00715CE0">
      <w:pPr>
        <w:pStyle w:val="Caption"/>
        <w:keepNext/>
        <w:jc w:val="center"/>
        <w:rPr>
          <w:rFonts w:ascii="Times New Roman" w:hAnsi="Times New Roman" w:cs="Times New Roman"/>
          <w:b/>
          <w:bCs/>
          <w:color w:val="auto"/>
          <w:sz w:val="22"/>
          <w:szCs w:val="22"/>
        </w:rPr>
      </w:pPr>
      <w:bookmarkStart w:id="111" w:name="_Toc204038313"/>
      <w:r>
        <w:rPr>
          <w:rFonts w:ascii="Times New Roman" w:hAnsi="Times New Roman" w:cs="Times New Roman"/>
          <w:b/>
          <w:bCs/>
          <w:color w:val="auto"/>
          <w:sz w:val="22"/>
          <w:szCs w:val="22"/>
        </w:rPr>
        <w:t xml:space="preserve">Table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Table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2</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Input Parameters for Chronic Daily Intake</w:t>
      </w:r>
      <w:bookmarkEnd w:id="111"/>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3451D7">
        <w:tc>
          <w:tcPr>
            <w:tcW w:w="4675" w:type="dxa"/>
            <w:tcBorders>
              <w:top w:val="single" w:sz="4" w:space="0" w:color="auto"/>
              <w:bottom w:val="single" w:sz="4" w:space="0" w:color="auto"/>
            </w:tcBorders>
          </w:tcPr>
          <w:p w:rsidR="003451D7" w:rsidRDefault="00715CE0">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Variables in the formula used</w:t>
            </w:r>
          </w:p>
        </w:tc>
        <w:tc>
          <w:tcPr>
            <w:tcW w:w="4675" w:type="dxa"/>
            <w:tcBorders>
              <w:top w:val="single" w:sz="4" w:space="0" w:color="auto"/>
              <w:bottom w:val="single" w:sz="4" w:space="0" w:color="auto"/>
            </w:tcBorders>
          </w:tcPr>
          <w:p w:rsidR="003451D7" w:rsidRDefault="00715CE0">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Values</w:t>
            </w:r>
          </w:p>
        </w:tc>
      </w:tr>
      <w:tr w:rsidR="003451D7">
        <w:tc>
          <w:tcPr>
            <w:tcW w:w="4675" w:type="dxa"/>
            <w:tcBorders>
              <w:top w:val="single" w:sz="4" w:space="0" w:color="auto"/>
            </w:tcBorders>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Exposed Skin Area (SA)</w:t>
            </w:r>
          </w:p>
        </w:tc>
        <w:tc>
          <w:tcPr>
            <w:tcW w:w="4675" w:type="dxa"/>
            <w:tcBorders>
              <w:top w:val="single" w:sz="4" w:space="0" w:color="auto"/>
            </w:tcBorders>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5700 cm</w:t>
            </w:r>
            <w:r>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Pr>
                <w:rFonts w:ascii="Times New Roman" w:hAnsi="Times New Roman" w:cs="Times New Roman"/>
                <w:color w:val="000000"/>
                <w:sz w:val="24"/>
                <w:szCs w:val="24"/>
              </w:rPr>
              <w:t>(Ali et al., 2024)</w:t>
            </w:r>
          </w:p>
        </w:tc>
      </w:tr>
      <w:tr w:rsidR="003451D7">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Adherence Factor (AF)</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0.07 mg/cm</w:t>
            </w:r>
            <w:r>
              <w:rPr>
                <w:rFonts w:ascii="Times New Roman" w:hAnsi="Times New Roman" w:cs="Times New Roman"/>
                <w:sz w:val="24"/>
                <w:szCs w:val="24"/>
                <w:vertAlign w:val="superscript"/>
              </w:rPr>
              <w:t>2</w:t>
            </w:r>
            <w:r>
              <w:rPr>
                <w:rFonts w:ascii="Times New Roman" w:hAnsi="Times New Roman" w:cs="Times New Roman"/>
                <w:color w:val="000000"/>
                <w:sz w:val="24"/>
                <w:szCs w:val="24"/>
              </w:rPr>
              <w:t xml:space="preserve"> (Mansouri et al., 2018)</w:t>
            </w:r>
          </w:p>
        </w:tc>
      </w:tr>
      <w:tr w:rsidR="003451D7">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Dermal Absorption Fraction (ABS)</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0.001 </w:t>
            </w:r>
            <w:r>
              <w:rPr>
                <w:rFonts w:ascii="Times New Roman" w:hAnsi="Times New Roman" w:cs="Times New Roman"/>
                <w:color w:val="000000"/>
                <w:sz w:val="24"/>
                <w:szCs w:val="24"/>
              </w:rPr>
              <w:t>(Ali et al., 2024)</w:t>
            </w:r>
          </w:p>
        </w:tc>
      </w:tr>
      <w:tr w:rsidR="003451D7">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Exposure frequency (EF)</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365 days/ year (USEPA </w:t>
            </w:r>
            <w:r>
              <w:rPr>
                <w:rFonts w:ascii="Times New Roman" w:hAnsi="Times New Roman" w:cs="Times New Roman"/>
                <w:color w:val="000000"/>
              </w:rPr>
              <w:t>et al.,</w:t>
            </w:r>
            <w:r>
              <w:rPr>
                <w:rFonts w:ascii="Times New Roman" w:hAnsi="Times New Roman" w:cs="Times New Roman"/>
                <w:sz w:val="24"/>
                <w:szCs w:val="24"/>
              </w:rPr>
              <w:t xml:space="preserve"> 2009)</w:t>
            </w:r>
          </w:p>
        </w:tc>
      </w:tr>
      <w:tr w:rsidR="003451D7">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Exposure duration (ED)</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 years (Alam et al., 2019)</w:t>
            </w:r>
          </w:p>
        </w:tc>
      </w:tr>
      <w:tr w:rsidR="003451D7">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Unit Conversion Factor (CF)</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vertAlign w:val="superscript"/>
              </w:rPr>
              <w:t xml:space="preserve">-6 </w:t>
            </w:r>
            <w:r>
              <w:rPr>
                <w:rFonts w:ascii="Times New Roman" w:hAnsi="Times New Roman" w:cs="Times New Roman"/>
                <w:color w:val="000000"/>
                <w:sz w:val="24"/>
                <w:szCs w:val="24"/>
              </w:rPr>
              <w:t>mg/kg(Ali et al., 2024)</w:t>
            </w:r>
          </w:p>
        </w:tc>
      </w:tr>
      <w:tr w:rsidR="003451D7">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Average Time (AT)</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365days/ year ED </w:t>
            </w:r>
            <w:r>
              <w:rPr>
                <w:rFonts w:ascii="Times New Roman" w:hAnsi="Times New Roman" w:cs="Times New Roman"/>
                <w:color w:val="000000"/>
                <w:sz w:val="24"/>
                <w:szCs w:val="24"/>
              </w:rPr>
              <w:t>(Ali et al., 2024)</w:t>
            </w:r>
          </w:p>
        </w:tc>
      </w:tr>
      <w:tr w:rsidR="003451D7">
        <w:tc>
          <w:tcPr>
            <w:tcW w:w="4675" w:type="dxa"/>
          </w:tcPr>
          <w:p w:rsidR="003451D7" w:rsidRDefault="00715CE0">
            <w:pPr>
              <w:spacing w:after="0" w:line="240" w:lineRule="auto"/>
              <w:rPr>
                <w:rFonts w:ascii="Times New Roman" w:hAnsi="Times New Roman" w:cs="Times New Roman"/>
                <w:sz w:val="24"/>
                <w:szCs w:val="24"/>
              </w:rPr>
            </w:pPr>
            <w:r>
              <w:rPr>
                <w:rFonts w:ascii="Times New Roman" w:hAnsi="Times New Roman" w:cs="Times New Roman"/>
                <w:sz w:val="24"/>
                <w:szCs w:val="24"/>
              </w:rPr>
              <w:t>Body Weight (BW)</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70 kg </w:t>
            </w:r>
            <w:r>
              <w:rPr>
                <w:rFonts w:ascii="Times New Roman" w:hAnsi="Times New Roman" w:cs="Times New Roman"/>
                <w:color w:val="000000"/>
                <w:sz w:val="24"/>
                <w:szCs w:val="24"/>
              </w:rPr>
              <w:t>(Mansouri et al., 2018)</w:t>
            </w:r>
          </w:p>
        </w:tc>
      </w:tr>
    </w:tbl>
    <w:p w:rsidR="003451D7" w:rsidRDefault="003451D7">
      <w:pPr>
        <w:rPr>
          <w:rFonts w:ascii="Times New Roman" w:hAnsi="Times New Roman" w:cs="Times New Roman"/>
        </w:rPr>
      </w:pPr>
    </w:p>
    <w:p w:rsidR="003451D7" w:rsidRDefault="003451D7">
      <w:pPr>
        <w:rPr>
          <w:rFonts w:ascii="Times New Roman" w:hAnsi="Times New Roman" w:cs="Times New Roman"/>
        </w:rPr>
      </w:pPr>
    </w:p>
    <w:p w:rsidR="003451D7" w:rsidRDefault="00715CE0">
      <w:pPr>
        <w:pStyle w:val="Caption"/>
        <w:keepNext/>
        <w:jc w:val="center"/>
        <w:rPr>
          <w:rFonts w:ascii="Times New Roman" w:hAnsi="Times New Roman" w:cs="Times New Roman"/>
          <w:color w:val="auto"/>
          <w:sz w:val="22"/>
          <w:szCs w:val="22"/>
        </w:rPr>
      </w:pPr>
      <w:bookmarkStart w:id="112" w:name="_Toc204038314"/>
      <w:r>
        <w:rPr>
          <w:rFonts w:ascii="Times New Roman" w:hAnsi="Times New Roman" w:cs="Times New Roman"/>
          <w:b/>
          <w:bCs/>
          <w:color w:val="auto"/>
          <w:sz w:val="22"/>
          <w:szCs w:val="22"/>
        </w:rPr>
        <w:t xml:space="preserve">Table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Table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Reference dose for dermal exposure associated with Heavy metals</w:t>
      </w:r>
      <w:bookmarkEnd w:id="112"/>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3451D7">
        <w:tc>
          <w:tcPr>
            <w:tcW w:w="4675" w:type="dxa"/>
            <w:tcBorders>
              <w:top w:val="single" w:sz="4" w:space="0" w:color="auto"/>
              <w:bottom w:val="single" w:sz="4" w:space="0" w:color="auto"/>
            </w:tcBorders>
          </w:tcPr>
          <w:p w:rsidR="003451D7" w:rsidRDefault="00715CE0">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Heavy Metals</w:t>
            </w:r>
          </w:p>
        </w:tc>
        <w:tc>
          <w:tcPr>
            <w:tcW w:w="4675" w:type="dxa"/>
            <w:tcBorders>
              <w:top w:val="single" w:sz="4" w:space="0" w:color="auto"/>
              <w:bottom w:val="single" w:sz="4" w:space="0" w:color="auto"/>
            </w:tcBorders>
          </w:tcPr>
          <w:p w:rsidR="003451D7" w:rsidRDefault="00715CE0">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RfD (µg/kg-d)</w:t>
            </w:r>
          </w:p>
        </w:tc>
      </w:tr>
      <w:tr w:rsidR="003451D7">
        <w:tc>
          <w:tcPr>
            <w:tcW w:w="4675" w:type="dxa"/>
            <w:tcBorders>
              <w:top w:val="single" w:sz="4" w:space="0" w:color="auto"/>
            </w:tcBorders>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Cd</w:t>
            </w:r>
          </w:p>
        </w:tc>
        <w:tc>
          <w:tcPr>
            <w:tcW w:w="4675" w:type="dxa"/>
            <w:tcBorders>
              <w:top w:val="single" w:sz="4" w:space="0" w:color="auto"/>
            </w:tcBorders>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 (USEPA</w:t>
            </w:r>
            <w:r>
              <w:rPr>
                <w:rFonts w:ascii="Times New Roman" w:hAnsi="Times New Roman" w:cs="Times New Roman"/>
                <w:color w:val="000000"/>
              </w:rPr>
              <w:t xml:space="preserve"> et al.,</w:t>
            </w:r>
            <w:r>
              <w:rPr>
                <w:rFonts w:ascii="Times New Roman" w:hAnsi="Times New Roman" w:cs="Times New Roman"/>
                <w:sz w:val="24"/>
                <w:szCs w:val="24"/>
              </w:rPr>
              <w:t xml:space="preserve"> 2009)</w:t>
            </w:r>
          </w:p>
        </w:tc>
      </w:tr>
      <w:tr w:rsidR="003451D7">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Cr</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color w:val="000000"/>
                <w:sz w:val="24"/>
                <w:szCs w:val="24"/>
              </w:rPr>
              <w:t>(Mansouri et al., 2018)</w:t>
            </w:r>
          </w:p>
        </w:tc>
      </w:tr>
      <w:tr w:rsidR="003451D7">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Cu</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20 </w:t>
            </w:r>
            <w:r>
              <w:rPr>
                <w:rFonts w:ascii="Times New Roman" w:hAnsi="Times New Roman" w:cs="Times New Roman"/>
                <w:color w:val="000000"/>
                <w:sz w:val="24"/>
                <w:szCs w:val="24"/>
              </w:rPr>
              <w:t>(Mansouri et al., 2018)</w:t>
            </w:r>
          </w:p>
        </w:tc>
      </w:tr>
      <w:tr w:rsidR="003451D7">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Pb</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 (USEPA</w:t>
            </w:r>
            <w:r>
              <w:rPr>
                <w:rFonts w:ascii="Times New Roman" w:hAnsi="Times New Roman" w:cs="Times New Roman"/>
                <w:color w:val="000000"/>
              </w:rPr>
              <w:t xml:space="preserve"> et al.,</w:t>
            </w:r>
            <w:r>
              <w:rPr>
                <w:rFonts w:ascii="Times New Roman" w:hAnsi="Times New Roman" w:cs="Times New Roman"/>
                <w:sz w:val="24"/>
                <w:szCs w:val="24"/>
              </w:rPr>
              <w:t xml:space="preserve"> 2009)</w:t>
            </w:r>
          </w:p>
        </w:tc>
      </w:tr>
      <w:tr w:rsidR="003451D7">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Ni</w:t>
            </w:r>
          </w:p>
        </w:tc>
        <w:tc>
          <w:tcPr>
            <w:tcW w:w="4675" w:type="dxa"/>
          </w:tcPr>
          <w:p w:rsidR="003451D7" w:rsidRDefault="00715CE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20 </w:t>
            </w:r>
            <w:r>
              <w:rPr>
                <w:rFonts w:ascii="Times New Roman" w:hAnsi="Times New Roman" w:cs="Times New Roman"/>
                <w:color w:val="000000"/>
                <w:sz w:val="24"/>
                <w:szCs w:val="24"/>
              </w:rPr>
              <w:t>(Mansouri et al., 2018)</w:t>
            </w:r>
          </w:p>
        </w:tc>
      </w:tr>
    </w:tbl>
    <w:p w:rsidR="003451D7" w:rsidRDefault="003451D7">
      <w:pPr>
        <w:rPr>
          <w:rFonts w:ascii="Times New Roman" w:hAnsi="Times New Roman" w:cs="Times New Roman"/>
          <w:sz w:val="24"/>
          <w:szCs w:val="24"/>
        </w:rPr>
      </w:pPr>
    </w:p>
    <w:p w:rsidR="003451D7" w:rsidRDefault="00715CE0">
      <w:pPr>
        <w:pStyle w:val="Heading2"/>
        <w:rPr>
          <w:rFonts w:cs="Times New Roman"/>
        </w:rPr>
      </w:pPr>
      <w:bookmarkStart w:id="113" w:name="_Toc202982301"/>
      <w:bookmarkStart w:id="114" w:name="_Toc208820409"/>
      <w:bookmarkStart w:id="115" w:name="_Toc202990370"/>
      <w:r>
        <w:rPr>
          <w:rFonts w:cs="Times New Roman"/>
        </w:rPr>
        <w:t>Analysis</w:t>
      </w:r>
      <w:bookmarkEnd w:id="113"/>
      <w:bookmarkEnd w:id="114"/>
      <w:bookmarkEnd w:id="115"/>
      <w:r>
        <w:rPr>
          <w:rFonts w:cs="Times New Roman"/>
        </w:rPr>
        <w:t xml:space="preserve"> </w:t>
      </w:r>
    </w:p>
    <w:p w:rsidR="003451D7" w:rsidRDefault="00715CE0">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of the atomic absorption spectrophotometer and the HPLC were compared. This was done by calculating mean concentrations and standard deviations of all the samples using Microsoft Excel which gave them in the form of Bars. The tool was applied to determine the maximum and minimum levels of the heavy metals and steroids in various samples easily.</w:t>
      </w:r>
    </w:p>
    <w:p w:rsidR="003451D7" w:rsidRDefault="00715CE0">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3451D7" w:rsidRDefault="00715CE0">
      <w:pPr>
        <w:jc w:val="right"/>
        <w:rPr>
          <w:rFonts w:ascii="Times New Roman" w:hAnsi="Times New Roman" w:cs="Times New Roman"/>
          <w:bCs/>
          <w:szCs w:val="32"/>
        </w:rPr>
      </w:pPr>
      <w:r>
        <w:rPr>
          <w:rFonts w:ascii="Times New Roman" w:hAnsi="Times New Roman" w:cs="Times New Roman"/>
          <w:b/>
          <w:bCs/>
          <w:sz w:val="32"/>
          <w:szCs w:val="32"/>
        </w:rPr>
        <w:lastRenderedPageBreak/>
        <w:t>Chapter 4</w:t>
      </w:r>
    </w:p>
    <w:p w:rsidR="003451D7" w:rsidRDefault="00715CE0">
      <w:pPr>
        <w:pStyle w:val="Heading1"/>
        <w:rPr>
          <w:rFonts w:cs="Times New Roman"/>
        </w:rPr>
      </w:pPr>
      <w:bookmarkStart w:id="116" w:name="_Toc208820410"/>
      <w:bookmarkStart w:id="117" w:name="_Toc202990371"/>
      <w:bookmarkStart w:id="118" w:name="_Toc202982302"/>
      <w:r>
        <w:rPr>
          <w:rFonts w:cs="Times New Roman"/>
        </w:rPr>
        <w:t>Results</w:t>
      </w:r>
      <w:bookmarkEnd w:id="116"/>
      <w:bookmarkEnd w:id="117"/>
      <w:bookmarkEnd w:id="118"/>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 this chapter, the results of the study including physicochemical characteristics of face wash samples, heavy metals and steroidal content, and the human health risk assessment (CDI and HQ) as well as the findings of the consumer survey. The results were analyzed in each segment regarding to the research objectives and they were compared with the international standards and the existing literature.</w:t>
      </w:r>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2"/>
        <w:rPr>
          <w:rFonts w:cs="Times New Roman"/>
        </w:rPr>
      </w:pPr>
      <w:bookmarkStart w:id="119" w:name="_Toc208820411"/>
      <w:bookmarkStart w:id="120" w:name="_Toc202982303"/>
      <w:bookmarkStart w:id="121" w:name="_Toc202990372"/>
      <w:r>
        <w:rPr>
          <w:rFonts w:cs="Times New Roman"/>
        </w:rPr>
        <w:t>Consumer Awareness and Perceptions (Survey Results):</w:t>
      </w:r>
      <w:bookmarkEnd w:id="119"/>
      <w:bookmarkEnd w:id="120"/>
      <w:bookmarkEnd w:id="121"/>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This section incorporates a consumer survey to discuss the critical information of awareness of the population and the use of face wash products, and their perceived health outcomes, which completes the quantitative analytical findings by identifying the human component of exposure and risk perception, and the respective mitigation measures.</w:t>
      </w:r>
    </w:p>
    <w:p w:rsidR="003451D7" w:rsidRDefault="003451D7">
      <w:pPr>
        <w:spacing w:before="240" w:line="360" w:lineRule="auto"/>
        <w:rPr>
          <w:rFonts w:ascii="Times New Roman" w:hAnsi="Times New Roman" w:cs="Times New Roman"/>
          <w:sz w:val="24"/>
          <w:szCs w:val="24"/>
        </w:rPr>
      </w:pPr>
    </w:p>
    <w:p w:rsidR="003451D7" w:rsidRDefault="00715CE0">
      <w:pPr>
        <w:pStyle w:val="Heading3"/>
        <w:rPr>
          <w:rFonts w:cs="Times New Roman"/>
          <w:i w:val="0"/>
        </w:rPr>
      </w:pPr>
      <w:bookmarkStart w:id="122" w:name="_Toc202990373"/>
      <w:bookmarkStart w:id="123" w:name="_Toc202982304"/>
      <w:bookmarkStart w:id="124" w:name="_Toc208820412"/>
      <w:r>
        <w:rPr>
          <w:rFonts w:cs="Times New Roman"/>
          <w:i w:val="0"/>
        </w:rPr>
        <w:t>Demographic Information:</w:t>
      </w:r>
      <w:bookmarkEnd w:id="122"/>
      <w:bookmarkEnd w:id="123"/>
      <w:bookmarkEnd w:id="124"/>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population surveyed, shown in Figures 4.1-4.3, consisted mostly of females (71%) and mostly young adults between the ages of 18-24 (46.5%) and 25-34 (43%), with large majority (94%) holding university degree or above. This population characteristic indicates that the group of young educated women is one of the main consumers of face wash, which may affect their awareness rate and habits of exposure.</w:t>
      </w:r>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lastRenderedPageBreak/>
        <w:drawing>
          <wp:inline distT="0" distB="0" distL="0" distR="0">
            <wp:extent cx="4572000" cy="2775585"/>
            <wp:effectExtent l="0" t="0" r="0" b="5715"/>
            <wp:docPr id="26532371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3451D7" w:rsidRDefault="00715CE0">
      <w:pPr>
        <w:pStyle w:val="Caption"/>
        <w:jc w:val="center"/>
        <w:rPr>
          <w:rFonts w:ascii="Times New Roman" w:hAnsi="Times New Roman" w:cs="Times New Roman"/>
          <w:color w:val="auto"/>
          <w:sz w:val="22"/>
          <w:szCs w:val="22"/>
        </w:rPr>
      </w:pPr>
      <w:bookmarkStart w:id="125" w:name="_Toc204038289"/>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Gender Percentage</w:t>
      </w:r>
      <w:bookmarkEnd w:id="125"/>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drawing>
          <wp:inline distT="0" distB="0" distL="0" distR="0">
            <wp:extent cx="4573905" cy="2775585"/>
            <wp:effectExtent l="0" t="0" r="17145" b="5715"/>
            <wp:docPr id="157769890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3451D7" w:rsidRDefault="00715CE0">
      <w:pPr>
        <w:pStyle w:val="Caption"/>
        <w:jc w:val="center"/>
        <w:rPr>
          <w:rFonts w:ascii="Times New Roman" w:hAnsi="Times New Roman" w:cs="Times New Roman"/>
          <w:color w:val="auto"/>
          <w:sz w:val="22"/>
          <w:szCs w:val="22"/>
        </w:rPr>
      </w:pPr>
      <w:bookmarkStart w:id="126" w:name="_Toc204038290"/>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2</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Age Groups of People Surveyed</w:t>
      </w:r>
      <w:bookmarkEnd w:id="126"/>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lastRenderedPageBreak/>
        <w:drawing>
          <wp:inline distT="0" distB="0" distL="0" distR="0">
            <wp:extent cx="5039995" cy="2914650"/>
            <wp:effectExtent l="0" t="0" r="8255" b="0"/>
            <wp:docPr id="49474640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3451D7" w:rsidRDefault="00715CE0">
      <w:pPr>
        <w:pStyle w:val="Caption"/>
        <w:jc w:val="center"/>
        <w:rPr>
          <w:rFonts w:ascii="Times New Roman" w:hAnsi="Times New Roman" w:cs="Times New Roman"/>
          <w:color w:val="auto"/>
          <w:sz w:val="22"/>
          <w:szCs w:val="22"/>
        </w:rPr>
      </w:pPr>
      <w:bookmarkStart w:id="127" w:name="_Toc204038291"/>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Education Level of Surveyed People</w:t>
      </w:r>
      <w:bookmarkEnd w:id="127"/>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128" w:name="_Toc202982305"/>
      <w:bookmarkStart w:id="129" w:name="_Toc202990374"/>
      <w:bookmarkStart w:id="130" w:name="_Toc208820413"/>
      <w:r>
        <w:rPr>
          <w:rFonts w:cs="Times New Roman"/>
        </w:rPr>
        <w:t>Usage Patterns:</w:t>
      </w:r>
      <w:bookmarkEnd w:id="128"/>
      <w:bookmarkEnd w:id="129"/>
      <w:bookmarkEnd w:id="130"/>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Figures 4.4-4.6 illustrate the prevalent usage habits. Himalaya, Fair &amp; Lovely, and Parley emerged as the most commonly used brands (15%, 11.5%, and 9.5%, respectively), indicating substantial market presence and widespread consumer exposure. A significant 74% of respondents reported daily face wash use, 10.5% use it weekly, and 15.5% use it occasionally, with 40% applying it once a day and 34% applying it multiple times daily.</w:t>
      </w:r>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lastRenderedPageBreak/>
        <w:drawing>
          <wp:inline distT="0" distB="0" distL="0" distR="0">
            <wp:extent cx="5943600" cy="3785870"/>
            <wp:effectExtent l="0" t="0" r="0" b="5080"/>
            <wp:docPr id="41532765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3451D7" w:rsidRDefault="00715CE0">
      <w:pPr>
        <w:pStyle w:val="Caption"/>
        <w:jc w:val="center"/>
        <w:rPr>
          <w:rFonts w:ascii="Times New Roman" w:hAnsi="Times New Roman" w:cs="Times New Roman"/>
          <w:color w:val="auto"/>
          <w:sz w:val="22"/>
          <w:szCs w:val="22"/>
        </w:rPr>
      </w:pPr>
      <w:bookmarkStart w:id="131" w:name="_Toc204038292"/>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List of Face Wash Brands Used by People</w:t>
      </w:r>
      <w:bookmarkEnd w:id="131"/>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drawing>
          <wp:inline distT="0" distB="0" distL="0" distR="0">
            <wp:extent cx="5035550" cy="2914650"/>
            <wp:effectExtent l="0" t="0" r="12700" b="0"/>
            <wp:docPr id="199191782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3451D7" w:rsidRDefault="00715CE0">
      <w:pPr>
        <w:pStyle w:val="Caption"/>
        <w:jc w:val="center"/>
        <w:rPr>
          <w:rFonts w:ascii="Times New Roman" w:hAnsi="Times New Roman" w:cs="Times New Roman"/>
          <w:color w:val="auto"/>
          <w:sz w:val="22"/>
          <w:szCs w:val="22"/>
        </w:rPr>
      </w:pPr>
      <w:bookmarkStart w:id="132" w:name="_Toc204038293"/>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5</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How Often Do You Use Face Wash?</w:t>
      </w:r>
      <w:bookmarkEnd w:id="132"/>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drawing>
          <wp:inline distT="0" distB="0" distL="0" distR="0">
            <wp:extent cx="5041900" cy="2912110"/>
            <wp:effectExtent l="0" t="0" r="6350" b="2540"/>
            <wp:docPr id="205057387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3451D7" w:rsidRDefault="00715CE0">
      <w:pPr>
        <w:pStyle w:val="Caption"/>
        <w:jc w:val="center"/>
        <w:rPr>
          <w:rFonts w:ascii="Times New Roman" w:hAnsi="Times New Roman" w:cs="Times New Roman"/>
          <w:color w:val="auto"/>
          <w:sz w:val="22"/>
          <w:szCs w:val="22"/>
        </w:rPr>
      </w:pPr>
      <w:bookmarkStart w:id="133" w:name="_Toc204038294"/>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6</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How Frequently Do You Use Face Wash?</w:t>
      </w:r>
      <w:bookmarkEnd w:id="133"/>
    </w:p>
    <w:p w:rsidR="003451D7" w:rsidRDefault="003451D7">
      <w:pPr>
        <w:spacing w:before="240" w:line="360" w:lineRule="auto"/>
        <w:rPr>
          <w:rFonts w:ascii="Times New Roman" w:hAnsi="Times New Roman" w:cs="Times New Roman"/>
          <w:sz w:val="24"/>
          <w:szCs w:val="24"/>
        </w:rPr>
      </w:pPr>
    </w:p>
    <w:p w:rsidR="003451D7" w:rsidRDefault="00715CE0">
      <w:pPr>
        <w:pStyle w:val="Heading3"/>
        <w:rPr>
          <w:rFonts w:cs="Times New Roman"/>
        </w:rPr>
      </w:pPr>
      <w:bookmarkStart w:id="134" w:name="_Toc202982306"/>
      <w:bookmarkStart w:id="135" w:name="_Toc202990375"/>
      <w:bookmarkStart w:id="136" w:name="_Toc208820414"/>
      <w:r>
        <w:rPr>
          <w:rFonts w:cs="Times New Roman"/>
        </w:rPr>
        <w:t>Awareness of Harmful Substances and Ingredients:</w:t>
      </w:r>
      <w:bookmarkEnd w:id="134"/>
      <w:bookmarkEnd w:id="135"/>
      <w:bookmarkEnd w:id="136"/>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Consumer awareness remains a critical factor in risk mitigation. Figure 4.7 reveals that 55.5% of respondents were unaware of the presence of heavy metals or steroids in face washes, with only 32% aware of both. This lack of specific knowledge is further supported by Figure 4.9, which shows that 43.5% of consumers do not regularly read or understand ingredient lists. Interestingly, 79% of respondents (Figure 4.8) attributed the use of harmful substances to inadequate regulation in Pakistan.</w:t>
      </w:r>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lastRenderedPageBreak/>
        <w:drawing>
          <wp:inline distT="0" distB="0" distL="0" distR="0">
            <wp:extent cx="5050790" cy="2959100"/>
            <wp:effectExtent l="0" t="0" r="16510" b="12700"/>
            <wp:docPr id="56478129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3451D7" w:rsidRDefault="00715CE0">
      <w:pPr>
        <w:pStyle w:val="Caption"/>
        <w:jc w:val="center"/>
        <w:rPr>
          <w:rFonts w:ascii="Times New Roman" w:hAnsi="Times New Roman" w:cs="Times New Roman"/>
          <w:color w:val="auto"/>
          <w:sz w:val="22"/>
          <w:szCs w:val="22"/>
        </w:rPr>
      </w:pPr>
      <w:bookmarkStart w:id="137" w:name="_Toc204038295"/>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7</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Have You Heard of The Following Harmful Substances (Heavy Metals, Steroids) in Face Wash?</w:t>
      </w:r>
      <w:bookmarkEnd w:id="137"/>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drawing>
          <wp:inline distT="0" distB="0" distL="0" distR="0">
            <wp:extent cx="4572000" cy="2775585"/>
            <wp:effectExtent l="0" t="0" r="0" b="5715"/>
            <wp:docPr id="63814586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3451D7" w:rsidRDefault="00715CE0">
      <w:pPr>
        <w:pStyle w:val="Caption"/>
        <w:jc w:val="center"/>
        <w:rPr>
          <w:rFonts w:ascii="Times New Roman" w:hAnsi="Times New Roman" w:cs="Times New Roman"/>
          <w:color w:val="auto"/>
          <w:sz w:val="22"/>
          <w:szCs w:val="22"/>
        </w:rPr>
      </w:pPr>
      <w:bookmarkStart w:id="138" w:name="_Toc204038296"/>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8</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 xml:space="preserve">Do You Believe Heavy Metals and Steroids are </w:t>
      </w:r>
      <w:r w:rsidR="00CE55F6">
        <w:rPr>
          <w:rFonts w:ascii="Times New Roman" w:hAnsi="Times New Roman" w:cs="Times New Roman"/>
          <w:color w:val="auto"/>
          <w:sz w:val="22"/>
          <w:szCs w:val="22"/>
        </w:rPr>
        <w:t>used</w:t>
      </w:r>
      <w:r>
        <w:rPr>
          <w:rFonts w:ascii="Times New Roman" w:hAnsi="Times New Roman" w:cs="Times New Roman"/>
          <w:color w:val="auto"/>
          <w:sz w:val="22"/>
          <w:szCs w:val="22"/>
        </w:rPr>
        <w:t xml:space="preserve"> in Face Wash Due to a Lack of Regulation in Pakistan?</w:t>
      </w:r>
      <w:bookmarkEnd w:id="138"/>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lastRenderedPageBreak/>
        <w:drawing>
          <wp:inline distT="0" distB="0" distL="0" distR="0">
            <wp:extent cx="4572635" cy="2775585"/>
            <wp:effectExtent l="0" t="0" r="18415" b="5715"/>
            <wp:docPr id="194026828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3451D7" w:rsidRDefault="00715CE0">
      <w:pPr>
        <w:pStyle w:val="Caption"/>
        <w:jc w:val="center"/>
        <w:rPr>
          <w:rFonts w:ascii="Times New Roman" w:hAnsi="Times New Roman" w:cs="Times New Roman"/>
          <w:color w:val="auto"/>
          <w:sz w:val="22"/>
          <w:szCs w:val="22"/>
        </w:rPr>
      </w:pPr>
      <w:bookmarkStart w:id="139" w:name="_Toc204038297"/>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9</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Are You Aware of The Ingredients Used in Face Wash?</w:t>
      </w:r>
      <w:bookmarkEnd w:id="139"/>
    </w:p>
    <w:p w:rsidR="003451D7" w:rsidRDefault="003451D7">
      <w:pPr>
        <w:spacing w:before="240" w:line="360" w:lineRule="auto"/>
        <w:rPr>
          <w:rFonts w:ascii="Times New Roman" w:hAnsi="Times New Roman" w:cs="Times New Roman"/>
          <w:sz w:val="24"/>
          <w:szCs w:val="24"/>
        </w:rPr>
      </w:pPr>
    </w:p>
    <w:p w:rsidR="003451D7" w:rsidRDefault="00715CE0">
      <w:pPr>
        <w:pStyle w:val="Heading3"/>
        <w:rPr>
          <w:rFonts w:cs="Times New Roman"/>
        </w:rPr>
      </w:pPr>
      <w:bookmarkStart w:id="140" w:name="_Toc208820415"/>
      <w:bookmarkStart w:id="141" w:name="_Toc202982307"/>
      <w:bookmarkStart w:id="142" w:name="_Toc202990376"/>
      <w:r>
        <w:rPr>
          <w:rFonts w:cs="Times New Roman"/>
        </w:rPr>
        <w:t>Perceived Effects and Health Risks:</w:t>
      </w:r>
      <w:bookmarkEnd w:id="140"/>
      <w:bookmarkEnd w:id="141"/>
      <w:bookmarkEnd w:id="142"/>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a general lack of awareness (65.5%) of potential long-term health risks associated with </w:t>
      </w:r>
      <w:r>
        <w:rPr>
          <w:rFonts w:ascii="Times New Roman" w:eastAsia="Times New Roman" w:hAnsi="Times New Roman" w:cs="Times New Roman"/>
          <w:color w:val="0E101A"/>
          <w:sz w:val="24"/>
          <w:szCs w:val="24"/>
        </w:rPr>
        <w:t>face wash</w:t>
      </w:r>
      <w:r>
        <w:rPr>
          <w:rFonts w:ascii="Times New Roman" w:hAnsi="Times New Roman" w:cs="Times New Roman"/>
          <w:sz w:val="24"/>
          <w:szCs w:val="24"/>
        </w:rPr>
        <w:t xml:space="preserve"> use (Figure 4.10), a substantial number of consumers reported experiencing side effects. The most frequent adverse effects included thinning of the skin (18%), skin irritation (itching, burning) (15%), and darkening of the skin (7.5%). 33.5% of respondents reported no effect due to the use of face wash. These reported short-term effects, although not definitively linked to heavy metals in this study, are consistent with symptoms of dermal irritation and allergic reactions that various cosmetic ingredients, including certain heavy metals such as nickel and chromium, can trigger.</w:t>
      </w:r>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lastRenderedPageBreak/>
        <w:drawing>
          <wp:inline distT="0" distB="0" distL="0" distR="0">
            <wp:extent cx="4577080" cy="2775585"/>
            <wp:effectExtent l="0" t="0" r="13970" b="5715"/>
            <wp:docPr id="96991953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3451D7" w:rsidRDefault="00715CE0">
      <w:pPr>
        <w:pStyle w:val="Caption"/>
        <w:jc w:val="center"/>
        <w:rPr>
          <w:rFonts w:ascii="Times New Roman" w:hAnsi="Times New Roman" w:cs="Times New Roman"/>
          <w:color w:val="auto"/>
          <w:sz w:val="22"/>
          <w:szCs w:val="22"/>
        </w:rPr>
      </w:pPr>
      <w:bookmarkStart w:id="143" w:name="_Toc204038298"/>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10</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Are You Aware of Any Long-term Health Risks Linked to the Use of Face Wash (e.g., skin thinning, skin infection)?</w:t>
      </w:r>
      <w:bookmarkEnd w:id="143"/>
    </w:p>
    <w:p w:rsidR="003451D7" w:rsidRDefault="003451D7">
      <w:pPr>
        <w:rPr>
          <w:rFonts w:ascii="Times New Roman" w:hAnsi="Times New Roman" w:cs="Times New Roman"/>
          <w:sz w:val="24"/>
          <w:szCs w:val="24"/>
        </w:rPr>
      </w:pPr>
    </w:p>
    <w:p w:rsidR="003451D7" w:rsidRDefault="00715CE0">
      <w:pPr>
        <w:pStyle w:val="Caption"/>
        <w:keepNext/>
        <w:jc w:val="center"/>
        <w:rPr>
          <w:rFonts w:ascii="Times New Roman" w:hAnsi="Times New Roman" w:cs="Times New Roman"/>
          <w:b/>
          <w:bCs/>
          <w:color w:val="auto"/>
          <w:sz w:val="22"/>
          <w:szCs w:val="22"/>
        </w:rPr>
      </w:pPr>
      <w:bookmarkStart w:id="144" w:name="_Toc204038315"/>
      <w:r>
        <w:rPr>
          <w:rFonts w:ascii="Times New Roman" w:hAnsi="Times New Roman" w:cs="Times New Roman"/>
          <w:b/>
          <w:bCs/>
          <w:color w:val="auto"/>
          <w:sz w:val="22"/>
          <w:szCs w:val="22"/>
        </w:rPr>
        <w:t xml:space="preserve">Table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Table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Have You Ever Experienced Any of The Following Side Effects from Using Face Wash?</w:t>
      </w:r>
      <w:bookmarkEnd w:id="144"/>
    </w:p>
    <w:tbl>
      <w:tblPr>
        <w:tblW w:w="5000" w:type="pct"/>
        <w:tblBorders>
          <w:top w:val="single" w:sz="4" w:space="0" w:color="auto"/>
          <w:bottom w:val="single" w:sz="4" w:space="0" w:color="auto"/>
        </w:tblBorders>
        <w:tblLook w:val="04A0" w:firstRow="1" w:lastRow="0" w:firstColumn="1" w:lastColumn="0" w:noHBand="0" w:noVBand="1"/>
      </w:tblPr>
      <w:tblGrid>
        <w:gridCol w:w="1103"/>
        <w:gridCol w:w="6907"/>
        <w:gridCol w:w="1350"/>
      </w:tblGrid>
      <w:tr w:rsidR="003451D7">
        <w:trPr>
          <w:trHeight w:val="137"/>
        </w:trPr>
        <w:tc>
          <w:tcPr>
            <w:tcW w:w="589"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Sr. No.</w:t>
            </w:r>
          </w:p>
        </w:tc>
        <w:tc>
          <w:tcPr>
            <w:tcW w:w="3690" w:type="pct"/>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Description</w:t>
            </w:r>
          </w:p>
        </w:tc>
        <w:tc>
          <w:tcPr>
            <w:tcW w:w="721" w:type="pct"/>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Percentage</w:t>
            </w:r>
          </w:p>
        </w:tc>
      </w:tr>
      <w:tr w:rsidR="003451D7">
        <w:trPr>
          <w:trHeight w:val="137"/>
        </w:trPr>
        <w:tc>
          <w:tcPr>
            <w:tcW w:w="589"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1</w:t>
            </w:r>
          </w:p>
        </w:tc>
        <w:tc>
          <w:tcPr>
            <w:tcW w:w="3690" w:type="pct"/>
            <w:tcBorders>
              <w:top w:val="single" w:sz="4" w:space="0" w:color="auto"/>
            </w:tcBorders>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Acne, or Pimples</w:t>
            </w:r>
          </w:p>
        </w:tc>
        <w:tc>
          <w:tcPr>
            <w:tcW w:w="721" w:type="pct"/>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3451D7">
        <w:trPr>
          <w:trHeight w:val="3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2</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Darkening of the Skin</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p>
        </w:tc>
      </w:tr>
      <w:tr w:rsidR="003451D7">
        <w:trPr>
          <w:trHeight w:val="128"/>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3</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Redness, or Rashes</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3451D7">
        <w:trPr>
          <w:trHeight w:val="115"/>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4</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Thinning of the Skin</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r>
      <w:tr w:rsidR="003451D7">
        <w:trPr>
          <w:trHeight w:val="3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5</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r>
      <w:tr w:rsidR="003451D7">
        <w:trPr>
          <w:trHeight w:val="3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6</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I've never experienced any side effects</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w:t>
            </w:r>
          </w:p>
        </w:tc>
      </w:tr>
      <w:tr w:rsidR="003451D7">
        <w:trPr>
          <w:trHeight w:val="3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7</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Darkening of the Skin; Thinning of the Skin</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3451D7">
        <w:trPr>
          <w:trHeight w:val="95"/>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8</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Redness, or Rashes; Acne or Pimples</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w:t>
            </w:r>
          </w:p>
        </w:tc>
      </w:tr>
      <w:tr w:rsidR="003451D7">
        <w:trPr>
          <w:trHeight w:val="83"/>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9</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Acne or Pimples; Thinning of the Skin</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r>
      <w:tr w:rsidR="003451D7">
        <w:trPr>
          <w:trHeight w:val="20"/>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10</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 Thinning of the Skin</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r>
      <w:tr w:rsidR="003451D7">
        <w:trPr>
          <w:trHeight w:val="3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11</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 Acne, or Pimples</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r>
      <w:tr w:rsidR="003451D7">
        <w:trPr>
          <w:trHeight w:val="49"/>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12</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 Redness, or Rashes</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3451D7">
        <w:trPr>
          <w:trHeight w:val="20"/>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13</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 Darkening of the Skin</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r>
      <w:tr w:rsidR="003451D7">
        <w:trPr>
          <w:trHeight w:val="3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14</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 Redness, or Rashes; Darkening of the Skin; Acne, or Pimples; Thinning of the Skin</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3451D7">
        <w:trPr>
          <w:trHeight w:val="3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15</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 Redness, or Rashes; Acne, or Pimples</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3451D7">
        <w:trPr>
          <w:trHeight w:val="3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16</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 Redness, or Rashes; I've never experienced any side effects</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w:t>
            </w:r>
          </w:p>
        </w:tc>
      </w:tr>
      <w:tr w:rsidR="003451D7">
        <w:trPr>
          <w:trHeight w:val="5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Effect 17</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 Redness, or Rashes; Darkening of the Skin; Acne, or Pimples</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3451D7">
        <w:trPr>
          <w:trHeight w:val="37"/>
        </w:trPr>
        <w:tc>
          <w:tcPr>
            <w:tcW w:w="58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None</w:t>
            </w:r>
          </w:p>
        </w:tc>
        <w:tc>
          <w:tcPr>
            <w:tcW w:w="3690" w:type="pct"/>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Skin Irritation (itching, burning); Acne, or Pimples; I've never experienced any side effects</w:t>
            </w:r>
          </w:p>
        </w:tc>
        <w:tc>
          <w:tcPr>
            <w:tcW w:w="721" w:type="pct"/>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33.5%</w:t>
            </w:r>
          </w:p>
        </w:tc>
      </w:tr>
    </w:tbl>
    <w:p w:rsidR="003451D7" w:rsidRDefault="003451D7">
      <w:pPr>
        <w:spacing w:before="240" w:line="360" w:lineRule="auto"/>
        <w:rPr>
          <w:rFonts w:ascii="Times New Roman" w:hAnsi="Times New Roman" w:cs="Times New Roman"/>
          <w:sz w:val="24"/>
          <w:szCs w:val="24"/>
        </w:rPr>
      </w:pPr>
    </w:p>
    <w:p w:rsidR="003451D7" w:rsidRDefault="00715CE0">
      <w:pPr>
        <w:pStyle w:val="Heading3"/>
        <w:rPr>
          <w:rFonts w:cs="Times New Roman"/>
        </w:rPr>
      </w:pPr>
      <w:bookmarkStart w:id="145" w:name="_Toc208820416"/>
      <w:bookmarkStart w:id="146" w:name="_Toc202990377"/>
      <w:bookmarkStart w:id="147" w:name="_Toc202982308"/>
      <w:r>
        <w:rPr>
          <w:rFonts w:cs="Times New Roman"/>
        </w:rPr>
        <w:t>Main Reasons for Using Face Wash:</w:t>
      </w:r>
      <w:bookmarkEnd w:id="145"/>
      <w:bookmarkEnd w:id="146"/>
      <w:bookmarkEnd w:id="147"/>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Consumer motivations, as shown in Figure 4.11, were primarily focused on acne reduction (37%), followed by dark spot and pigmentation reduction (34.5%), and skin tone lightening (28.5%). These findings indicate that consumers often prioritize aesthetic benefits, which may inadvertently expose them to risks if products contain undisclosed harmful substances.</w:t>
      </w:r>
    </w:p>
    <w:p w:rsidR="003451D7" w:rsidRDefault="003451D7">
      <w:pPr>
        <w:spacing w:before="240" w:line="360" w:lineRule="auto"/>
        <w:rPr>
          <w:rFonts w:ascii="Times New Roman" w:hAnsi="Times New Roman" w:cs="Times New Roman"/>
          <w:sz w:val="24"/>
          <w:szCs w:val="24"/>
        </w:rPr>
      </w:pPr>
    </w:p>
    <w:p w:rsidR="003451D7" w:rsidRDefault="00715CE0">
      <w:pPr>
        <w:keepNext/>
        <w:spacing w:before="240" w:line="360" w:lineRule="auto"/>
        <w:jc w:val="center"/>
        <w:rPr>
          <w:rFonts w:ascii="Times New Roman" w:hAnsi="Times New Roman" w:cs="Times New Roman"/>
        </w:rPr>
      </w:pPr>
      <w:r>
        <w:rPr>
          <w:rFonts w:ascii="Times New Roman" w:hAnsi="Times New Roman" w:cs="Times New Roman"/>
          <w:noProof/>
          <w:sz w:val="24"/>
          <w:szCs w:val="24"/>
        </w:rPr>
        <w:drawing>
          <wp:inline distT="0" distB="0" distL="0" distR="0">
            <wp:extent cx="5046345" cy="2912110"/>
            <wp:effectExtent l="0" t="0" r="1905" b="2540"/>
            <wp:docPr id="20390572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3451D7" w:rsidRDefault="00715CE0">
      <w:pPr>
        <w:pStyle w:val="Caption"/>
        <w:jc w:val="center"/>
        <w:rPr>
          <w:rFonts w:ascii="Times New Roman" w:hAnsi="Times New Roman" w:cs="Times New Roman"/>
          <w:color w:val="auto"/>
          <w:sz w:val="22"/>
          <w:szCs w:val="22"/>
        </w:rPr>
      </w:pPr>
      <w:bookmarkStart w:id="148" w:name="_Toc204038299"/>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11</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What are the Main reasons for Using Face Wash?</w:t>
      </w:r>
      <w:bookmarkEnd w:id="148"/>
    </w:p>
    <w:p w:rsidR="003451D7" w:rsidRDefault="003451D7">
      <w:pPr>
        <w:spacing w:before="240" w:line="360" w:lineRule="auto"/>
        <w:rPr>
          <w:rFonts w:ascii="Times New Roman" w:hAnsi="Times New Roman" w:cs="Times New Roman"/>
          <w:sz w:val="24"/>
          <w:szCs w:val="24"/>
        </w:rPr>
      </w:pPr>
    </w:p>
    <w:p w:rsidR="003451D7" w:rsidRDefault="00715CE0">
      <w:pPr>
        <w:pStyle w:val="Caption"/>
        <w:keepNext/>
        <w:jc w:val="center"/>
        <w:rPr>
          <w:rFonts w:ascii="Times New Roman" w:hAnsi="Times New Roman" w:cs="Times New Roman"/>
          <w:color w:val="auto"/>
          <w:sz w:val="22"/>
          <w:szCs w:val="22"/>
        </w:rPr>
      </w:pPr>
      <w:bookmarkStart w:id="149" w:name="_Toc204038316"/>
      <w:r>
        <w:rPr>
          <w:rFonts w:ascii="Times New Roman" w:hAnsi="Times New Roman" w:cs="Times New Roman"/>
          <w:b/>
          <w:bCs/>
          <w:color w:val="auto"/>
          <w:sz w:val="22"/>
          <w:szCs w:val="22"/>
        </w:rPr>
        <w:t xml:space="preserve">Table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Table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2</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Questionnaire Results</w:t>
      </w:r>
      <w:bookmarkEnd w:id="149"/>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9"/>
        <w:gridCol w:w="4156"/>
        <w:gridCol w:w="2409"/>
        <w:gridCol w:w="6"/>
      </w:tblGrid>
      <w:tr w:rsidR="003451D7">
        <w:tc>
          <w:tcPr>
            <w:tcW w:w="1490" w:type="pct"/>
            <w:tcBorders>
              <w:top w:val="single" w:sz="4" w:space="0" w:color="auto"/>
              <w:bottom w:val="single" w:sz="4" w:space="0" w:color="auto"/>
            </w:tcBorders>
            <w:vAlign w:val="center"/>
          </w:tcPr>
          <w:p w:rsidR="003451D7" w:rsidRDefault="00715CE0">
            <w:pPr>
              <w:pStyle w:val="NormalWeb"/>
              <w:spacing w:before="0" w:beforeAutospacing="0" w:after="0" w:afterAutospacing="0"/>
              <w:jc w:val="center"/>
              <w:rPr>
                <w:color w:val="0E101A"/>
              </w:rPr>
            </w:pPr>
            <w:r>
              <w:rPr>
                <w:b/>
                <w:bCs/>
                <w:color w:val="0E101A"/>
              </w:rPr>
              <w:t>Variables</w:t>
            </w:r>
          </w:p>
        </w:tc>
        <w:tc>
          <w:tcPr>
            <w:tcW w:w="2220" w:type="pct"/>
            <w:tcBorders>
              <w:top w:val="single" w:sz="4" w:space="0" w:color="auto"/>
              <w:bottom w:val="single" w:sz="4" w:space="0" w:color="auto"/>
            </w:tcBorders>
          </w:tcPr>
          <w:p w:rsidR="003451D7" w:rsidRDefault="00715CE0">
            <w:pPr>
              <w:pStyle w:val="NormalWeb"/>
              <w:spacing w:before="0" w:beforeAutospacing="0" w:after="0" w:afterAutospacing="0"/>
              <w:jc w:val="center"/>
              <w:rPr>
                <w:b/>
                <w:bCs/>
                <w:color w:val="0E101A"/>
              </w:rPr>
            </w:pPr>
            <w:r>
              <w:rPr>
                <w:b/>
                <w:bCs/>
                <w:color w:val="0E101A"/>
              </w:rPr>
              <w:t>Description</w:t>
            </w:r>
          </w:p>
        </w:tc>
        <w:tc>
          <w:tcPr>
            <w:tcW w:w="1290" w:type="pct"/>
            <w:gridSpan w:val="2"/>
            <w:tcBorders>
              <w:top w:val="single" w:sz="4" w:space="0" w:color="auto"/>
              <w:bottom w:val="single" w:sz="4" w:space="0" w:color="auto"/>
            </w:tcBorders>
          </w:tcPr>
          <w:p w:rsidR="003451D7" w:rsidRDefault="00715CE0">
            <w:pPr>
              <w:pStyle w:val="NormalWeb"/>
              <w:spacing w:before="0" w:beforeAutospacing="0" w:after="0" w:afterAutospacing="0"/>
              <w:jc w:val="center"/>
              <w:rPr>
                <w:b/>
                <w:bCs/>
                <w:color w:val="0E101A"/>
              </w:rPr>
            </w:pPr>
            <w:r>
              <w:rPr>
                <w:b/>
                <w:bCs/>
                <w:color w:val="0E101A"/>
              </w:rPr>
              <w:t>Result Percentage</w:t>
            </w:r>
          </w:p>
        </w:tc>
      </w:tr>
      <w:tr w:rsidR="003451D7">
        <w:tc>
          <w:tcPr>
            <w:tcW w:w="1490" w:type="pct"/>
            <w:vMerge w:val="restart"/>
            <w:tcBorders>
              <w:top w:val="single" w:sz="4" w:space="0" w:color="auto"/>
              <w:bottom w:val="single" w:sz="4" w:space="0" w:color="auto"/>
            </w:tcBorders>
            <w:vAlign w:val="center"/>
          </w:tcPr>
          <w:p w:rsidR="003451D7" w:rsidRDefault="00715CE0">
            <w:pPr>
              <w:pStyle w:val="NormalWeb"/>
              <w:spacing w:before="0" w:beforeAutospacing="0" w:after="0" w:afterAutospacing="0"/>
              <w:rPr>
                <w:color w:val="0E101A"/>
              </w:rPr>
            </w:pPr>
            <w:r>
              <w:rPr>
                <w:color w:val="0E101A"/>
              </w:rPr>
              <w:t>Gender</w:t>
            </w:r>
          </w:p>
        </w:tc>
        <w:tc>
          <w:tcPr>
            <w:tcW w:w="2220" w:type="pct"/>
            <w:tcBorders>
              <w:top w:val="single" w:sz="4" w:space="0" w:color="auto"/>
              <w:bottom w:val="nil"/>
            </w:tcBorders>
            <w:vAlign w:val="center"/>
          </w:tcPr>
          <w:p w:rsidR="003451D7" w:rsidRDefault="00715CE0">
            <w:pPr>
              <w:pStyle w:val="NormalWeb"/>
              <w:spacing w:before="0" w:beforeAutospacing="0" w:after="0" w:afterAutospacing="0"/>
              <w:jc w:val="center"/>
              <w:rPr>
                <w:color w:val="0E101A"/>
              </w:rPr>
            </w:pPr>
            <w:r>
              <w:rPr>
                <w:color w:val="0E101A"/>
              </w:rPr>
              <w:t>Male</w:t>
            </w:r>
          </w:p>
        </w:tc>
        <w:tc>
          <w:tcPr>
            <w:tcW w:w="1290" w:type="pct"/>
            <w:gridSpan w:val="2"/>
            <w:tcBorders>
              <w:top w:val="single" w:sz="4" w:space="0" w:color="auto"/>
              <w:bottom w:val="nil"/>
            </w:tcBorders>
            <w:vAlign w:val="center"/>
          </w:tcPr>
          <w:p w:rsidR="003451D7" w:rsidRDefault="00715CE0">
            <w:pPr>
              <w:pStyle w:val="NormalWeb"/>
              <w:spacing w:before="0" w:beforeAutospacing="0" w:after="0" w:afterAutospacing="0"/>
              <w:jc w:val="center"/>
              <w:rPr>
                <w:color w:val="0E101A"/>
              </w:rPr>
            </w:pPr>
            <w:r>
              <w:rPr>
                <w:color w:val="0E101A"/>
              </w:rPr>
              <w:t>29%</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single" w:sz="4" w:space="0" w:color="auto"/>
            </w:tcBorders>
            <w:vAlign w:val="center"/>
          </w:tcPr>
          <w:p w:rsidR="003451D7" w:rsidRDefault="00715CE0">
            <w:pPr>
              <w:pStyle w:val="NormalWeb"/>
              <w:spacing w:before="0" w:beforeAutospacing="0" w:after="0" w:afterAutospacing="0"/>
              <w:jc w:val="center"/>
              <w:rPr>
                <w:color w:val="0E101A"/>
              </w:rPr>
            </w:pPr>
            <w:r>
              <w:rPr>
                <w:color w:val="0E101A"/>
              </w:rPr>
              <w:t>Female</w:t>
            </w:r>
          </w:p>
        </w:tc>
        <w:tc>
          <w:tcPr>
            <w:tcW w:w="1290" w:type="pct"/>
            <w:gridSpan w:val="2"/>
            <w:tcBorders>
              <w:top w:val="nil"/>
              <w:bottom w:val="single" w:sz="4" w:space="0" w:color="auto"/>
            </w:tcBorders>
            <w:vAlign w:val="center"/>
          </w:tcPr>
          <w:p w:rsidR="003451D7" w:rsidRDefault="00715CE0">
            <w:pPr>
              <w:pStyle w:val="NormalWeb"/>
              <w:spacing w:before="0" w:beforeAutospacing="0" w:after="0" w:afterAutospacing="0"/>
              <w:jc w:val="center"/>
              <w:rPr>
                <w:color w:val="0E101A"/>
              </w:rPr>
            </w:pPr>
            <w:r>
              <w:rPr>
                <w:color w:val="0E101A"/>
              </w:rPr>
              <w:t>71%</w:t>
            </w:r>
          </w:p>
        </w:tc>
      </w:tr>
      <w:tr w:rsidR="003451D7">
        <w:tc>
          <w:tcPr>
            <w:tcW w:w="1490" w:type="pct"/>
            <w:vMerge w:val="restart"/>
            <w:tcBorders>
              <w:top w:val="single" w:sz="4" w:space="0" w:color="auto"/>
              <w:bottom w:val="single" w:sz="4" w:space="0" w:color="auto"/>
            </w:tcBorders>
            <w:vAlign w:val="center"/>
          </w:tcPr>
          <w:p w:rsidR="003451D7" w:rsidRDefault="00715CE0">
            <w:pPr>
              <w:pStyle w:val="NormalWeb"/>
              <w:spacing w:before="0" w:beforeAutospacing="0" w:after="0" w:afterAutospacing="0"/>
              <w:rPr>
                <w:color w:val="0E101A"/>
              </w:rPr>
            </w:pPr>
            <w:r>
              <w:rPr>
                <w:color w:val="0E101A"/>
              </w:rPr>
              <w:t>Age Group</w:t>
            </w:r>
          </w:p>
        </w:tc>
        <w:tc>
          <w:tcPr>
            <w:tcW w:w="2220" w:type="pct"/>
            <w:tcBorders>
              <w:top w:val="single" w:sz="4" w:space="0" w:color="auto"/>
              <w:bottom w:val="nil"/>
            </w:tcBorders>
            <w:vAlign w:val="center"/>
          </w:tcPr>
          <w:p w:rsidR="003451D7" w:rsidRDefault="00715CE0">
            <w:pPr>
              <w:pStyle w:val="NormalWeb"/>
              <w:spacing w:before="0" w:beforeAutospacing="0" w:after="0" w:afterAutospacing="0"/>
              <w:jc w:val="center"/>
              <w:rPr>
                <w:color w:val="0E101A"/>
              </w:rPr>
            </w:pPr>
            <w:r>
              <w:rPr>
                <w:color w:val="0E101A"/>
              </w:rPr>
              <w:t>Under 18</w:t>
            </w:r>
          </w:p>
        </w:tc>
        <w:tc>
          <w:tcPr>
            <w:tcW w:w="1290" w:type="pct"/>
            <w:gridSpan w:val="2"/>
            <w:tcBorders>
              <w:top w:val="single" w:sz="4" w:space="0" w:color="auto"/>
              <w:bottom w:val="nil"/>
            </w:tcBorders>
            <w:vAlign w:val="center"/>
          </w:tcPr>
          <w:p w:rsidR="003451D7" w:rsidRDefault="00715CE0">
            <w:pPr>
              <w:pStyle w:val="NormalWeb"/>
              <w:spacing w:before="0" w:beforeAutospacing="0" w:after="0" w:afterAutospacing="0"/>
              <w:jc w:val="center"/>
              <w:rPr>
                <w:color w:val="0E101A"/>
              </w:rPr>
            </w:pPr>
            <w:r>
              <w:rPr>
                <w:color w:val="0E101A"/>
              </w:rPr>
              <w:t>1.5%</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nil"/>
            </w:tcBorders>
            <w:vAlign w:val="center"/>
          </w:tcPr>
          <w:p w:rsidR="003451D7" w:rsidRDefault="00715CE0">
            <w:pPr>
              <w:pStyle w:val="NormalWeb"/>
              <w:spacing w:before="0" w:beforeAutospacing="0" w:after="0" w:afterAutospacing="0"/>
              <w:jc w:val="center"/>
              <w:rPr>
                <w:color w:val="0E101A"/>
              </w:rPr>
            </w:pPr>
            <w:r>
              <w:rPr>
                <w:color w:val="0E101A"/>
              </w:rPr>
              <w:t>18-24</w:t>
            </w:r>
          </w:p>
        </w:tc>
        <w:tc>
          <w:tcPr>
            <w:tcW w:w="1290" w:type="pct"/>
            <w:gridSpan w:val="2"/>
            <w:tcBorders>
              <w:top w:val="nil"/>
              <w:bottom w:val="nil"/>
            </w:tcBorders>
            <w:vAlign w:val="center"/>
          </w:tcPr>
          <w:p w:rsidR="003451D7" w:rsidRDefault="00715CE0">
            <w:pPr>
              <w:pStyle w:val="NormalWeb"/>
              <w:spacing w:before="0" w:beforeAutospacing="0" w:after="0" w:afterAutospacing="0"/>
              <w:jc w:val="center"/>
              <w:rPr>
                <w:color w:val="0E101A"/>
              </w:rPr>
            </w:pPr>
            <w:r>
              <w:rPr>
                <w:color w:val="0E101A"/>
              </w:rPr>
              <w:t>46.5%</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nil"/>
            </w:tcBorders>
            <w:vAlign w:val="center"/>
          </w:tcPr>
          <w:p w:rsidR="003451D7" w:rsidRDefault="00715CE0">
            <w:pPr>
              <w:pStyle w:val="NormalWeb"/>
              <w:spacing w:before="0" w:beforeAutospacing="0" w:after="0" w:afterAutospacing="0"/>
              <w:jc w:val="center"/>
              <w:rPr>
                <w:color w:val="0E101A"/>
              </w:rPr>
            </w:pPr>
            <w:r>
              <w:rPr>
                <w:color w:val="0E101A"/>
              </w:rPr>
              <w:t>25-34</w:t>
            </w:r>
          </w:p>
        </w:tc>
        <w:tc>
          <w:tcPr>
            <w:tcW w:w="1290" w:type="pct"/>
            <w:gridSpan w:val="2"/>
            <w:tcBorders>
              <w:top w:val="nil"/>
              <w:bottom w:val="nil"/>
            </w:tcBorders>
            <w:vAlign w:val="center"/>
          </w:tcPr>
          <w:p w:rsidR="003451D7" w:rsidRDefault="00715CE0">
            <w:pPr>
              <w:pStyle w:val="NormalWeb"/>
              <w:spacing w:before="0" w:beforeAutospacing="0" w:after="0" w:afterAutospacing="0"/>
              <w:jc w:val="center"/>
              <w:rPr>
                <w:color w:val="0E101A"/>
              </w:rPr>
            </w:pPr>
            <w:r>
              <w:rPr>
                <w:color w:val="0E101A"/>
              </w:rPr>
              <w:t>43%</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single" w:sz="4" w:space="0" w:color="auto"/>
            </w:tcBorders>
            <w:vAlign w:val="center"/>
          </w:tcPr>
          <w:p w:rsidR="003451D7" w:rsidRDefault="00715CE0">
            <w:pPr>
              <w:pStyle w:val="NormalWeb"/>
              <w:spacing w:before="0" w:beforeAutospacing="0" w:after="0" w:afterAutospacing="0"/>
              <w:jc w:val="center"/>
              <w:rPr>
                <w:color w:val="0E101A"/>
              </w:rPr>
            </w:pPr>
            <w:r>
              <w:rPr>
                <w:color w:val="0E101A"/>
              </w:rPr>
              <w:t>Above 35</w:t>
            </w:r>
          </w:p>
        </w:tc>
        <w:tc>
          <w:tcPr>
            <w:tcW w:w="1290" w:type="pct"/>
            <w:gridSpan w:val="2"/>
            <w:tcBorders>
              <w:top w:val="nil"/>
              <w:bottom w:val="single" w:sz="4" w:space="0" w:color="auto"/>
            </w:tcBorders>
            <w:vAlign w:val="center"/>
          </w:tcPr>
          <w:p w:rsidR="003451D7" w:rsidRDefault="00715CE0">
            <w:pPr>
              <w:pStyle w:val="NormalWeb"/>
              <w:spacing w:before="0" w:beforeAutospacing="0" w:after="0" w:afterAutospacing="0"/>
              <w:jc w:val="center"/>
              <w:rPr>
                <w:color w:val="0E101A"/>
              </w:rPr>
            </w:pPr>
            <w:r>
              <w:rPr>
                <w:color w:val="0E101A"/>
              </w:rPr>
              <w:t>9%</w:t>
            </w:r>
          </w:p>
        </w:tc>
      </w:tr>
      <w:tr w:rsidR="003451D7">
        <w:tc>
          <w:tcPr>
            <w:tcW w:w="1490" w:type="pct"/>
            <w:vMerge w:val="restart"/>
            <w:tcBorders>
              <w:top w:val="single" w:sz="4" w:space="0" w:color="auto"/>
              <w:bottom w:val="single" w:sz="4" w:space="0" w:color="auto"/>
            </w:tcBorders>
            <w:vAlign w:val="center"/>
          </w:tcPr>
          <w:p w:rsidR="003451D7" w:rsidRDefault="00715CE0">
            <w:pPr>
              <w:pStyle w:val="NormalWeb"/>
              <w:spacing w:before="0" w:beforeAutospacing="0" w:after="0" w:afterAutospacing="0"/>
              <w:rPr>
                <w:color w:val="0E101A"/>
              </w:rPr>
            </w:pPr>
            <w:r>
              <w:rPr>
                <w:color w:val="0E101A"/>
              </w:rPr>
              <w:t>Level of Education</w:t>
            </w:r>
          </w:p>
        </w:tc>
        <w:tc>
          <w:tcPr>
            <w:tcW w:w="2220" w:type="pct"/>
            <w:tcBorders>
              <w:top w:val="single" w:sz="4" w:space="0" w:color="auto"/>
            </w:tcBorders>
          </w:tcPr>
          <w:p w:rsidR="003451D7" w:rsidRDefault="00715CE0">
            <w:pPr>
              <w:pStyle w:val="NormalWeb"/>
              <w:spacing w:before="0" w:beforeAutospacing="0" w:after="0" w:afterAutospacing="0"/>
              <w:jc w:val="center"/>
              <w:rPr>
                <w:color w:val="0E101A"/>
              </w:rPr>
            </w:pPr>
            <w:r>
              <w:rPr>
                <w:color w:val="0E101A"/>
              </w:rPr>
              <w:t>No Formal Education</w:t>
            </w:r>
          </w:p>
        </w:tc>
        <w:tc>
          <w:tcPr>
            <w:tcW w:w="1290" w:type="pct"/>
            <w:gridSpan w:val="2"/>
            <w:tcBorders>
              <w:top w:val="single" w:sz="4" w:space="0" w:color="auto"/>
            </w:tcBorders>
          </w:tcPr>
          <w:p w:rsidR="003451D7" w:rsidRDefault="00715CE0">
            <w:pPr>
              <w:pStyle w:val="NormalWeb"/>
              <w:spacing w:before="0" w:beforeAutospacing="0" w:after="0" w:afterAutospacing="0"/>
              <w:jc w:val="center"/>
              <w:rPr>
                <w:color w:val="0E101A"/>
              </w:rPr>
            </w:pPr>
            <w:r>
              <w:rPr>
                <w:color w:val="0E101A"/>
              </w:rPr>
              <w:t>0%</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Pr>
          <w:p w:rsidR="003451D7" w:rsidRDefault="00715CE0">
            <w:pPr>
              <w:pStyle w:val="NormalWeb"/>
              <w:spacing w:before="0" w:beforeAutospacing="0" w:after="0" w:afterAutospacing="0"/>
              <w:jc w:val="center"/>
              <w:rPr>
                <w:color w:val="0E101A"/>
              </w:rPr>
            </w:pPr>
            <w:r>
              <w:rPr>
                <w:color w:val="0E101A"/>
              </w:rPr>
              <w:t>Primary School</w:t>
            </w:r>
          </w:p>
        </w:tc>
        <w:tc>
          <w:tcPr>
            <w:tcW w:w="1290" w:type="pct"/>
            <w:gridSpan w:val="2"/>
          </w:tcPr>
          <w:p w:rsidR="003451D7" w:rsidRDefault="00715CE0">
            <w:pPr>
              <w:pStyle w:val="NormalWeb"/>
              <w:spacing w:before="0" w:beforeAutospacing="0" w:after="0" w:afterAutospacing="0"/>
              <w:jc w:val="center"/>
              <w:rPr>
                <w:color w:val="0E101A"/>
              </w:rPr>
            </w:pPr>
            <w:r>
              <w:rPr>
                <w:color w:val="0E101A"/>
              </w:rPr>
              <w:t>0%</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bottom w:val="nil"/>
            </w:tcBorders>
          </w:tcPr>
          <w:p w:rsidR="003451D7" w:rsidRDefault="00715CE0">
            <w:pPr>
              <w:pStyle w:val="NormalWeb"/>
              <w:spacing w:before="0" w:beforeAutospacing="0" w:after="0" w:afterAutospacing="0"/>
              <w:jc w:val="center"/>
              <w:rPr>
                <w:color w:val="0E101A"/>
              </w:rPr>
            </w:pPr>
            <w:r>
              <w:rPr>
                <w:color w:val="0E101A"/>
              </w:rPr>
              <w:t>High School</w:t>
            </w:r>
          </w:p>
        </w:tc>
        <w:tc>
          <w:tcPr>
            <w:tcW w:w="1290" w:type="pct"/>
            <w:gridSpan w:val="2"/>
            <w:tcBorders>
              <w:bottom w:val="nil"/>
            </w:tcBorders>
          </w:tcPr>
          <w:p w:rsidR="003451D7" w:rsidRDefault="00715CE0">
            <w:pPr>
              <w:pStyle w:val="NormalWeb"/>
              <w:spacing w:before="0" w:beforeAutospacing="0" w:after="0" w:afterAutospacing="0"/>
              <w:jc w:val="center"/>
              <w:rPr>
                <w:color w:val="0E101A"/>
              </w:rPr>
            </w:pPr>
            <w:r>
              <w:rPr>
                <w:color w:val="0E101A"/>
              </w:rPr>
              <w:t>6%</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University</w:t>
            </w:r>
          </w:p>
        </w:tc>
        <w:tc>
          <w:tcPr>
            <w:tcW w:w="1290" w:type="pct"/>
            <w:gridSpan w:val="2"/>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94%</w:t>
            </w:r>
          </w:p>
        </w:tc>
      </w:tr>
      <w:tr w:rsidR="003451D7">
        <w:tc>
          <w:tcPr>
            <w:tcW w:w="1490" w:type="pct"/>
            <w:vMerge w:val="restart"/>
            <w:tcBorders>
              <w:top w:val="single" w:sz="4" w:space="0" w:color="auto"/>
            </w:tcBorders>
            <w:vAlign w:val="center"/>
          </w:tcPr>
          <w:p w:rsidR="003451D7" w:rsidRDefault="00715CE0">
            <w:pPr>
              <w:pStyle w:val="NormalWeb"/>
              <w:spacing w:before="0" w:beforeAutospacing="0" w:after="0" w:afterAutospacing="0"/>
              <w:rPr>
                <w:color w:val="0E101A"/>
              </w:rPr>
            </w:pPr>
            <w:r>
              <w:rPr>
                <w:color w:val="0E101A"/>
              </w:rPr>
              <w:t>How often do you use FW</w:t>
            </w:r>
          </w:p>
        </w:tc>
        <w:tc>
          <w:tcPr>
            <w:tcW w:w="2220" w:type="pct"/>
            <w:tcBorders>
              <w:top w:val="single" w:sz="4" w:space="0" w:color="auto"/>
              <w:bottom w:val="nil"/>
            </w:tcBorders>
          </w:tcPr>
          <w:p w:rsidR="003451D7" w:rsidRDefault="00715CE0">
            <w:pPr>
              <w:pStyle w:val="NormalWeb"/>
              <w:spacing w:before="0" w:beforeAutospacing="0" w:after="0" w:afterAutospacing="0"/>
              <w:jc w:val="center"/>
              <w:rPr>
                <w:color w:val="0E101A"/>
              </w:rPr>
            </w:pPr>
            <w:r>
              <w:rPr>
                <w:color w:val="0E101A"/>
              </w:rPr>
              <w:t>Daily</w:t>
            </w:r>
          </w:p>
        </w:tc>
        <w:tc>
          <w:tcPr>
            <w:tcW w:w="1290" w:type="pct"/>
            <w:gridSpan w:val="2"/>
            <w:tcBorders>
              <w:top w:val="single" w:sz="4" w:space="0" w:color="auto"/>
              <w:bottom w:val="nil"/>
            </w:tcBorders>
          </w:tcPr>
          <w:p w:rsidR="003451D7" w:rsidRDefault="00715CE0">
            <w:pPr>
              <w:pStyle w:val="NormalWeb"/>
              <w:spacing w:before="0" w:beforeAutospacing="0" w:after="0" w:afterAutospacing="0"/>
              <w:jc w:val="center"/>
              <w:rPr>
                <w:color w:val="0E101A"/>
              </w:rPr>
            </w:pPr>
            <w:r>
              <w:rPr>
                <w:color w:val="0E101A"/>
              </w:rPr>
              <w:t>74%</w:t>
            </w:r>
          </w:p>
        </w:tc>
      </w:tr>
      <w:tr w:rsidR="003451D7">
        <w:tc>
          <w:tcPr>
            <w:tcW w:w="1490" w:type="pct"/>
            <w:vMerge/>
            <w:vAlign w:val="center"/>
          </w:tcPr>
          <w:p w:rsidR="003451D7" w:rsidRDefault="003451D7">
            <w:pPr>
              <w:pStyle w:val="NormalWeb"/>
              <w:spacing w:before="0" w:beforeAutospacing="0" w:after="0" w:afterAutospacing="0"/>
              <w:rPr>
                <w:color w:val="0E101A"/>
              </w:rPr>
            </w:pPr>
          </w:p>
        </w:tc>
        <w:tc>
          <w:tcPr>
            <w:tcW w:w="2220" w:type="pct"/>
            <w:tcBorders>
              <w:top w:val="nil"/>
              <w:bottom w:val="nil"/>
            </w:tcBorders>
          </w:tcPr>
          <w:p w:rsidR="003451D7" w:rsidRDefault="00715CE0">
            <w:pPr>
              <w:pStyle w:val="NormalWeb"/>
              <w:spacing w:before="0" w:beforeAutospacing="0" w:after="0" w:afterAutospacing="0"/>
              <w:jc w:val="center"/>
              <w:rPr>
                <w:color w:val="0E101A"/>
              </w:rPr>
            </w:pPr>
            <w:r>
              <w:rPr>
                <w:color w:val="0E101A"/>
              </w:rPr>
              <w:t>Weekly</w:t>
            </w:r>
          </w:p>
        </w:tc>
        <w:tc>
          <w:tcPr>
            <w:tcW w:w="1290" w:type="pct"/>
            <w:gridSpan w:val="2"/>
            <w:tcBorders>
              <w:top w:val="nil"/>
              <w:bottom w:val="nil"/>
            </w:tcBorders>
          </w:tcPr>
          <w:p w:rsidR="003451D7" w:rsidRDefault="00715CE0">
            <w:pPr>
              <w:pStyle w:val="NormalWeb"/>
              <w:spacing w:before="0" w:beforeAutospacing="0" w:after="0" w:afterAutospacing="0"/>
              <w:jc w:val="center"/>
              <w:rPr>
                <w:color w:val="0E101A"/>
              </w:rPr>
            </w:pPr>
            <w:r>
              <w:rPr>
                <w:color w:val="0E101A"/>
              </w:rPr>
              <w:t>10.5%</w:t>
            </w:r>
          </w:p>
        </w:tc>
      </w:tr>
      <w:tr w:rsidR="003451D7">
        <w:tc>
          <w:tcPr>
            <w:tcW w:w="1490" w:type="pct"/>
            <w:vMerge/>
            <w:tcBorders>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Occasionally</w:t>
            </w:r>
          </w:p>
        </w:tc>
        <w:tc>
          <w:tcPr>
            <w:tcW w:w="1290" w:type="pct"/>
            <w:gridSpan w:val="2"/>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15.5%</w:t>
            </w:r>
          </w:p>
        </w:tc>
      </w:tr>
      <w:tr w:rsidR="003451D7">
        <w:tc>
          <w:tcPr>
            <w:tcW w:w="1490" w:type="pct"/>
            <w:vMerge w:val="restart"/>
            <w:tcBorders>
              <w:top w:val="single" w:sz="4" w:space="0" w:color="auto"/>
              <w:bottom w:val="single" w:sz="4" w:space="0" w:color="auto"/>
            </w:tcBorders>
            <w:vAlign w:val="center"/>
          </w:tcPr>
          <w:p w:rsidR="003451D7" w:rsidRDefault="00715CE0">
            <w:pPr>
              <w:pStyle w:val="NormalWeb"/>
              <w:spacing w:before="0" w:beforeAutospacing="0" w:after="0" w:afterAutospacing="0"/>
              <w:rPr>
                <w:color w:val="0E101A"/>
              </w:rPr>
            </w:pPr>
            <w:r>
              <w:rPr>
                <w:color w:val="0E101A"/>
              </w:rPr>
              <w:t>Frequent use of FW</w:t>
            </w:r>
          </w:p>
        </w:tc>
        <w:tc>
          <w:tcPr>
            <w:tcW w:w="2220" w:type="pct"/>
            <w:tcBorders>
              <w:top w:val="single" w:sz="4" w:space="0" w:color="auto"/>
            </w:tcBorders>
          </w:tcPr>
          <w:p w:rsidR="003451D7" w:rsidRDefault="00715CE0">
            <w:pPr>
              <w:pStyle w:val="NormalWeb"/>
              <w:spacing w:after="0"/>
              <w:jc w:val="center"/>
              <w:rPr>
                <w:color w:val="0E101A"/>
              </w:rPr>
            </w:pPr>
            <w:r>
              <w:rPr>
                <w:color w:val="0E101A"/>
              </w:rPr>
              <w:t>Multiple times a day</w:t>
            </w:r>
          </w:p>
        </w:tc>
        <w:tc>
          <w:tcPr>
            <w:tcW w:w="1290" w:type="pct"/>
            <w:gridSpan w:val="2"/>
            <w:tcBorders>
              <w:top w:val="single" w:sz="4" w:space="0" w:color="auto"/>
            </w:tcBorders>
          </w:tcPr>
          <w:p w:rsidR="003451D7" w:rsidRDefault="00715CE0">
            <w:pPr>
              <w:pStyle w:val="NormalWeb"/>
              <w:spacing w:before="0" w:beforeAutospacing="0" w:after="0" w:afterAutospacing="0"/>
              <w:jc w:val="center"/>
              <w:rPr>
                <w:color w:val="0E101A"/>
              </w:rPr>
            </w:pPr>
            <w:r>
              <w:rPr>
                <w:color w:val="0E101A"/>
              </w:rPr>
              <w:t>34%</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Pr>
          <w:p w:rsidR="003451D7" w:rsidRDefault="00715CE0">
            <w:pPr>
              <w:pStyle w:val="NormalWeb"/>
              <w:spacing w:before="0" w:beforeAutospacing="0" w:after="0" w:afterAutospacing="0"/>
              <w:jc w:val="center"/>
              <w:rPr>
                <w:color w:val="0E101A"/>
              </w:rPr>
            </w:pPr>
            <w:r>
              <w:rPr>
                <w:color w:val="0E101A"/>
              </w:rPr>
              <w:t>Once a day</w:t>
            </w:r>
          </w:p>
        </w:tc>
        <w:tc>
          <w:tcPr>
            <w:tcW w:w="1290" w:type="pct"/>
            <w:gridSpan w:val="2"/>
          </w:tcPr>
          <w:p w:rsidR="003451D7" w:rsidRDefault="00715CE0">
            <w:pPr>
              <w:pStyle w:val="NormalWeb"/>
              <w:spacing w:before="0" w:beforeAutospacing="0" w:after="0" w:afterAutospacing="0"/>
              <w:jc w:val="center"/>
              <w:rPr>
                <w:color w:val="0E101A"/>
              </w:rPr>
            </w:pPr>
            <w:r>
              <w:rPr>
                <w:color w:val="0E101A"/>
              </w:rPr>
              <w:t>40%</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bottom w:val="nil"/>
            </w:tcBorders>
          </w:tcPr>
          <w:p w:rsidR="003451D7" w:rsidRDefault="00715CE0">
            <w:pPr>
              <w:pStyle w:val="NormalWeb"/>
              <w:spacing w:before="0" w:beforeAutospacing="0" w:after="0" w:afterAutospacing="0"/>
              <w:jc w:val="center"/>
              <w:rPr>
                <w:color w:val="0E101A"/>
              </w:rPr>
            </w:pPr>
            <w:r>
              <w:rPr>
                <w:color w:val="0E101A"/>
              </w:rPr>
              <w:t>A few times a week</w:t>
            </w:r>
          </w:p>
        </w:tc>
        <w:tc>
          <w:tcPr>
            <w:tcW w:w="1290" w:type="pct"/>
            <w:gridSpan w:val="2"/>
            <w:tcBorders>
              <w:bottom w:val="nil"/>
            </w:tcBorders>
          </w:tcPr>
          <w:p w:rsidR="003451D7" w:rsidRDefault="00715CE0">
            <w:pPr>
              <w:pStyle w:val="NormalWeb"/>
              <w:spacing w:before="0" w:beforeAutospacing="0" w:after="0" w:afterAutospacing="0"/>
              <w:jc w:val="center"/>
              <w:rPr>
                <w:color w:val="0E101A"/>
              </w:rPr>
            </w:pPr>
            <w:r>
              <w:rPr>
                <w:color w:val="0E101A"/>
              </w:rPr>
              <w:t>13.5%</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Once a week</w:t>
            </w:r>
          </w:p>
        </w:tc>
        <w:tc>
          <w:tcPr>
            <w:tcW w:w="1290" w:type="pct"/>
            <w:gridSpan w:val="2"/>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12.5%</w:t>
            </w:r>
          </w:p>
        </w:tc>
      </w:tr>
      <w:tr w:rsidR="003451D7">
        <w:tc>
          <w:tcPr>
            <w:tcW w:w="1490" w:type="pct"/>
            <w:vMerge w:val="restart"/>
            <w:tcBorders>
              <w:top w:val="single" w:sz="4" w:space="0" w:color="auto"/>
              <w:bottom w:val="single" w:sz="4" w:space="0" w:color="auto"/>
            </w:tcBorders>
            <w:vAlign w:val="center"/>
          </w:tcPr>
          <w:p w:rsidR="003451D7" w:rsidRDefault="00715CE0">
            <w:pPr>
              <w:pStyle w:val="NormalWeb"/>
              <w:spacing w:before="0" w:beforeAutospacing="0" w:after="0" w:afterAutospacing="0"/>
              <w:rPr>
                <w:color w:val="0E101A"/>
              </w:rPr>
            </w:pPr>
            <w:r>
              <w:rPr>
                <w:color w:val="0E101A"/>
              </w:rPr>
              <w:t>Main reasons for using FW?</w:t>
            </w:r>
          </w:p>
        </w:tc>
        <w:tc>
          <w:tcPr>
            <w:tcW w:w="2220" w:type="pct"/>
          </w:tcPr>
          <w:p w:rsidR="003451D7" w:rsidRDefault="00715CE0">
            <w:pPr>
              <w:pStyle w:val="NormalWeb"/>
              <w:spacing w:after="0"/>
              <w:jc w:val="center"/>
              <w:rPr>
                <w:color w:val="0E101A"/>
              </w:rPr>
            </w:pPr>
            <w:r>
              <w:rPr>
                <w:color w:val="0E101A"/>
              </w:rPr>
              <w:t>Skin tone lightening</w:t>
            </w:r>
          </w:p>
        </w:tc>
        <w:tc>
          <w:tcPr>
            <w:tcW w:w="1290" w:type="pct"/>
            <w:gridSpan w:val="2"/>
          </w:tcPr>
          <w:p w:rsidR="003451D7" w:rsidRDefault="00715CE0">
            <w:pPr>
              <w:pStyle w:val="NormalWeb"/>
              <w:spacing w:before="0" w:beforeAutospacing="0" w:after="0" w:afterAutospacing="0"/>
              <w:jc w:val="center"/>
              <w:rPr>
                <w:color w:val="0E101A"/>
              </w:rPr>
            </w:pPr>
            <w:r>
              <w:rPr>
                <w:color w:val="0E101A"/>
              </w:rPr>
              <w:t>34.5%</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bottom w:val="nil"/>
            </w:tcBorders>
          </w:tcPr>
          <w:p w:rsidR="003451D7" w:rsidRDefault="00715CE0">
            <w:pPr>
              <w:pStyle w:val="NormalWeb"/>
              <w:spacing w:after="0"/>
              <w:jc w:val="center"/>
              <w:rPr>
                <w:color w:val="0E101A"/>
              </w:rPr>
            </w:pPr>
            <w:r>
              <w:rPr>
                <w:color w:val="0E101A"/>
              </w:rPr>
              <w:t>Dark spots or pigmentation reduction</w:t>
            </w:r>
          </w:p>
        </w:tc>
        <w:tc>
          <w:tcPr>
            <w:tcW w:w="1290" w:type="pct"/>
            <w:gridSpan w:val="2"/>
            <w:tcBorders>
              <w:bottom w:val="nil"/>
            </w:tcBorders>
          </w:tcPr>
          <w:p w:rsidR="003451D7" w:rsidRDefault="00715CE0">
            <w:pPr>
              <w:pStyle w:val="NormalWeb"/>
              <w:spacing w:before="0" w:beforeAutospacing="0" w:after="0" w:afterAutospacing="0"/>
              <w:jc w:val="center"/>
              <w:rPr>
                <w:color w:val="0E101A"/>
              </w:rPr>
            </w:pPr>
            <w:r>
              <w:rPr>
                <w:color w:val="0E101A"/>
              </w:rPr>
              <w:t>28.5%</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Acne reduction</w:t>
            </w:r>
          </w:p>
        </w:tc>
        <w:tc>
          <w:tcPr>
            <w:tcW w:w="1290" w:type="pct"/>
            <w:gridSpan w:val="2"/>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37%</w:t>
            </w:r>
          </w:p>
        </w:tc>
      </w:tr>
      <w:tr w:rsidR="003451D7">
        <w:tc>
          <w:tcPr>
            <w:tcW w:w="1490" w:type="pct"/>
            <w:vMerge w:val="restart"/>
            <w:tcBorders>
              <w:top w:val="single" w:sz="4" w:space="0" w:color="auto"/>
              <w:bottom w:val="single" w:sz="4" w:space="0" w:color="auto"/>
            </w:tcBorders>
            <w:vAlign w:val="center"/>
          </w:tcPr>
          <w:p w:rsidR="003451D7" w:rsidRDefault="00715CE0">
            <w:pPr>
              <w:pStyle w:val="NormalWeb"/>
              <w:spacing w:before="0" w:beforeAutospacing="0" w:after="0" w:afterAutospacing="0"/>
              <w:rPr>
                <w:color w:val="0E101A"/>
              </w:rPr>
            </w:pPr>
            <w:r>
              <w:rPr>
                <w:color w:val="0E101A"/>
              </w:rPr>
              <w:t>Awareness of Ingredients</w:t>
            </w:r>
          </w:p>
        </w:tc>
        <w:tc>
          <w:tcPr>
            <w:tcW w:w="2220" w:type="pct"/>
            <w:tcBorders>
              <w:top w:val="single" w:sz="4" w:space="0" w:color="auto"/>
              <w:bottom w:val="nil"/>
            </w:tcBorders>
          </w:tcPr>
          <w:p w:rsidR="003451D7" w:rsidRDefault="00715CE0">
            <w:pPr>
              <w:pStyle w:val="NormalWeb"/>
              <w:spacing w:before="0" w:beforeAutospacing="0" w:after="0" w:afterAutospacing="0"/>
              <w:jc w:val="center"/>
              <w:rPr>
                <w:color w:val="0E101A"/>
              </w:rPr>
            </w:pPr>
            <w:r>
              <w:rPr>
                <w:color w:val="0E101A"/>
              </w:rPr>
              <w:t>Yes</w:t>
            </w:r>
          </w:p>
        </w:tc>
        <w:tc>
          <w:tcPr>
            <w:tcW w:w="1290" w:type="pct"/>
            <w:gridSpan w:val="2"/>
            <w:tcBorders>
              <w:top w:val="single" w:sz="4" w:space="0" w:color="auto"/>
              <w:bottom w:val="nil"/>
            </w:tcBorders>
          </w:tcPr>
          <w:p w:rsidR="003451D7" w:rsidRDefault="00715CE0">
            <w:pPr>
              <w:pStyle w:val="NormalWeb"/>
              <w:spacing w:before="0" w:beforeAutospacing="0" w:after="0" w:afterAutospacing="0"/>
              <w:jc w:val="center"/>
              <w:rPr>
                <w:color w:val="0E101A"/>
              </w:rPr>
            </w:pPr>
            <w:r>
              <w:rPr>
                <w:color w:val="0E101A"/>
              </w:rPr>
              <w:t>56.5%</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No</w:t>
            </w:r>
          </w:p>
        </w:tc>
        <w:tc>
          <w:tcPr>
            <w:tcW w:w="1290" w:type="pct"/>
            <w:gridSpan w:val="2"/>
            <w:tcBorders>
              <w:top w:val="nil"/>
              <w:bottom w:val="single" w:sz="4" w:space="0" w:color="auto"/>
            </w:tcBorders>
          </w:tcPr>
          <w:p w:rsidR="003451D7" w:rsidRDefault="00715CE0">
            <w:pPr>
              <w:pStyle w:val="NormalWeb"/>
              <w:spacing w:after="0"/>
              <w:jc w:val="center"/>
              <w:rPr>
                <w:color w:val="0E101A"/>
              </w:rPr>
            </w:pPr>
            <w:r>
              <w:rPr>
                <w:color w:val="0E101A"/>
              </w:rPr>
              <w:t>43.5%</w:t>
            </w:r>
          </w:p>
        </w:tc>
      </w:tr>
      <w:tr w:rsidR="003451D7">
        <w:tc>
          <w:tcPr>
            <w:tcW w:w="1490" w:type="pct"/>
            <w:vMerge w:val="restart"/>
            <w:tcBorders>
              <w:top w:val="single" w:sz="4" w:space="0" w:color="auto"/>
              <w:bottom w:val="single" w:sz="4" w:space="0" w:color="auto"/>
            </w:tcBorders>
            <w:vAlign w:val="center"/>
          </w:tcPr>
          <w:p w:rsidR="003451D7" w:rsidRDefault="00715CE0">
            <w:pPr>
              <w:pStyle w:val="NormalWeb"/>
              <w:spacing w:before="0" w:beforeAutospacing="0" w:after="0" w:afterAutospacing="0"/>
              <w:rPr>
                <w:color w:val="0E101A"/>
              </w:rPr>
            </w:pPr>
            <w:r>
              <w:rPr>
                <w:color w:val="0E101A"/>
              </w:rPr>
              <w:t>Have you heard of the following harmful substances in FW?</w:t>
            </w:r>
          </w:p>
        </w:tc>
        <w:tc>
          <w:tcPr>
            <w:tcW w:w="2220" w:type="pct"/>
            <w:tcBorders>
              <w:top w:val="single" w:sz="4" w:space="0" w:color="auto"/>
              <w:bottom w:val="nil"/>
            </w:tcBorders>
          </w:tcPr>
          <w:p w:rsidR="003451D7" w:rsidRDefault="00715CE0">
            <w:pPr>
              <w:pStyle w:val="NormalWeb"/>
              <w:spacing w:after="0"/>
              <w:jc w:val="center"/>
              <w:rPr>
                <w:color w:val="0E101A"/>
              </w:rPr>
            </w:pPr>
            <w:r>
              <w:t>heavy metal</w:t>
            </w:r>
            <w:r>
              <w:rPr>
                <w:color w:val="0E101A"/>
              </w:rPr>
              <w:t>s</w:t>
            </w:r>
          </w:p>
        </w:tc>
        <w:tc>
          <w:tcPr>
            <w:tcW w:w="1290" w:type="pct"/>
            <w:gridSpan w:val="2"/>
            <w:tcBorders>
              <w:top w:val="single" w:sz="4" w:space="0" w:color="auto"/>
              <w:bottom w:val="nil"/>
            </w:tcBorders>
          </w:tcPr>
          <w:p w:rsidR="003451D7" w:rsidRDefault="00715CE0">
            <w:pPr>
              <w:pStyle w:val="NormalWeb"/>
              <w:spacing w:before="0" w:beforeAutospacing="0" w:after="0" w:afterAutospacing="0"/>
              <w:jc w:val="center"/>
              <w:rPr>
                <w:color w:val="0E101A"/>
              </w:rPr>
            </w:pPr>
            <w:r>
              <w:rPr>
                <w:color w:val="0E101A"/>
              </w:rPr>
              <w:t>6.5%</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nil"/>
            </w:tcBorders>
          </w:tcPr>
          <w:p w:rsidR="003451D7" w:rsidRDefault="00715CE0">
            <w:pPr>
              <w:pStyle w:val="NormalWeb"/>
              <w:spacing w:before="0" w:beforeAutospacing="0" w:after="0" w:afterAutospacing="0"/>
              <w:jc w:val="center"/>
              <w:rPr>
                <w:color w:val="0E101A"/>
              </w:rPr>
            </w:pPr>
            <w:r>
              <w:rPr>
                <w:color w:val="0E101A"/>
              </w:rPr>
              <w:t>Steroids</w:t>
            </w:r>
          </w:p>
        </w:tc>
        <w:tc>
          <w:tcPr>
            <w:tcW w:w="1290" w:type="pct"/>
            <w:gridSpan w:val="2"/>
            <w:tcBorders>
              <w:top w:val="nil"/>
              <w:bottom w:val="nil"/>
            </w:tcBorders>
          </w:tcPr>
          <w:p w:rsidR="003451D7" w:rsidRDefault="00715CE0">
            <w:pPr>
              <w:pStyle w:val="NormalWeb"/>
              <w:spacing w:before="0" w:beforeAutospacing="0" w:after="0" w:afterAutospacing="0"/>
              <w:jc w:val="center"/>
              <w:rPr>
                <w:color w:val="0E101A"/>
              </w:rPr>
            </w:pPr>
            <w:r>
              <w:rPr>
                <w:color w:val="0E101A"/>
              </w:rPr>
              <w:t>6%</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nil"/>
            </w:tcBorders>
          </w:tcPr>
          <w:p w:rsidR="003451D7" w:rsidRDefault="00715CE0">
            <w:pPr>
              <w:pStyle w:val="NormalWeb"/>
              <w:spacing w:before="0" w:beforeAutospacing="0" w:after="0" w:afterAutospacing="0"/>
              <w:jc w:val="center"/>
              <w:rPr>
                <w:color w:val="0E101A"/>
              </w:rPr>
            </w:pPr>
            <w:r>
              <w:rPr>
                <w:color w:val="0E101A"/>
              </w:rPr>
              <w:t>Both</w:t>
            </w:r>
          </w:p>
        </w:tc>
        <w:tc>
          <w:tcPr>
            <w:tcW w:w="1290" w:type="pct"/>
            <w:gridSpan w:val="2"/>
            <w:tcBorders>
              <w:top w:val="nil"/>
              <w:bottom w:val="nil"/>
            </w:tcBorders>
          </w:tcPr>
          <w:p w:rsidR="003451D7" w:rsidRDefault="00715CE0">
            <w:pPr>
              <w:pStyle w:val="NormalWeb"/>
              <w:spacing w:before="0" w:beforeAutospacing="0" w:after="0" w:afterAutospacing="0"/>
              <w:jc w:val="center"/>
              <w:rPr>
                <w:color w:val="0E101A"/>
              </w:rPr>
            </w:pPr>
            <w:r>
              <w:rPr>
                <w:color w:val="0E101A"/>
              </w:rPr>
              <w:t>32%</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I don't know about any harmful substances</w:t>
            </w:r>
          </w:p>
        </w:tc>
        <w:tc>
          <w:tcPr>
            <w:tcW w:w="1290" w:type="pct"/>
            <w:gridSpan w:val="2"/>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55.5%</w:t>
            </w:r>
          </w:p>
        </w:tc>
      </w:tr>
      <w:tr w:rsidR="003451D7">
        <w:trPr>
          <w:trHeight w:val="547"/>
        </w:trPr>
        <w:tc>
          <w:tcPr>
            <w:tcW w:w="1490" w:type="pct"/>
            <w:vMerge w:val="restart"/>
            <w:tcBorders>
              <w:top w:val="single" w:sz="4" w:space="0" w:color="auto"/>
              <w:bottom w:val="single" w:sz="4" w:space="0" w:color="auto"/>
            </w:tcBorders>
            <w:vAlign w:val="center"/>
          </w:tcPr>
          <w:p w:rsidR="003451D7" w:rsidRDefault="00715CE0">
            <w:pPr>
              <w:pStyle w:val="NormalWeb"/>
              <w:spacing w:before="0" w:beforeAutospacing="0" w:after="0" w:afterAutospacing="0"/>
              <w:rPr>
                <w:color w:val="0E101A"/>
              </w:rPr>
            </w:pPr>
            <w:r>
              <w:rPr>
                <w:color w:val="0E101A"/>
              </w:rPr>
              <w:t>Are you aware of any long-term health risks linked to the use of FW (e.g., skin thinning, skin infection)?</w:t>
            </w:r>
          </w:p>
        </w:tc>
        <w:tc>
          <w:tcPr>
            <w:tcW w:w="2220" w:type="pct"/>
            <w:tcBorders>
              <w:top w:val="single" w:sz="4" w:space="0" w:color="auto"/>
              <w:bottom w:val="nil"/>
            </w:tcBorders>
          </w:tcPr>
          <w:p w:rsidR="003451D7" w:rsidRDefault="00715CE0">
            <w:pPr>
              <w:pStyle w:val="NormalWeb"/>
              <w:spacing w:after="0"/>
              <w:jc w:val="center"/>
              <w:rPr>
                <w:color w:val="0E101A"/>
              </w:rPr>
            </w:pPr>
            <w:r>
              <w:rPr>
                <w:color w:val="0E101A"/>
              </w:rPr>
              <w:t>Yes</w:t>
            </w:r>
          </w:p>
        </w:tc>
        <w:tc>
          <w:tcPr>
            <w:tcW w:w="1290" w:type="pct"/>
            <w:gridSpan w:val="2"/>
            <w:tcBorders>
              <w:top w:val="single" w:sz="4" w:space="0" w:color="auto"/>
              <w:bottom w:val="nil"/>
            </w:tcBorders>
          </w:tcPr>
          <w:p w:rsidR="003451D7" w:rsidRDefault="00715CE0">
            <w:pPr>
              <w:pStyle w:val="NormalWeb"/>
              <w:spacing w:before="0" w:beforeAutospacing="0" w:after="0" w:afterAutospacing="0"/>
              <w:jc w:val="center"/>
              <w:rPr>
                <w:color w:val="0E101A"/>
              </w:rPr>
            </w:pPr>
            <w:r>
              <w:rPr>
                <w:color w:val="0E101A"/>
              </w:rPr>
              <w:t>34.5%</w:t>
            </w:r>
          </w:p>
        </w:tc>
      </w:tr>
      <w:tr w:rsidR="003451D7">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No</w:t>
            </w:r>
          </w:p>
        </w:tc>
        <w:tc>
          <w:tcPr>
            <w:tcW w:w="1290" w:type="pct"/>
            <w:gridSpan w:val="2"/>
            <w:tcBorders>
              <w:top w:val="nil"/>
              <w:bottom w:val="single" w:sz="4" w:space="0" w:color="auto"/>
            </w:tcBorders>
          </w:tcPr>
          <w:p w:rsidR="003451D7" w:rsidRDefault="00715CE0">
            <w:pPr>
              <w:pStyle w:val="NormalWeb"/>
              <w:spacing w:before="0" w:beforeAutospacing="0" w:after="0" w:afterAutospacing="0"/>
              <w:jc w:val="center"/>
              <w:rPr>
                <w:color w:val="0E101A"/>
              </w:rPr>
            </w:pPr>
            <w:r>
              <w:rPr>
                <w:color w:val="0E101A"/>
              </w:rPr>
              <w:t>65.5%</w:t>
            </w:r>
          </w:p>
        </w:tc>
      </w:tr>
      <w:tr w:rsidR="003451D7">
        <w:tc>
          <w:tcPr>
            <w:tcW w:w="1490" w:type="pct"/>
            <w:vMerge w:val="restart"/>
            <w:tcBorders>
              <w:top w:val="single" w:sz="4" w:space="0" w:color="auto"/>
              <w:bottom w:val="single" w:sz="4" w:space="0" w:color="auto"/>
            </w:tcBorders>
            <w:vAlign w:val="center"/>
          </w:tcPr>
          <w:p w:rsidR="003451D7" w:rsidRDefault="00715CE0">
            <w:pPr>
              <w:pStyle w:val="NormalWeb"/>
              <w:spacing w:before="0" w:beforeAutospacing="0" w:after="0" w:afterAutospacing="0"/>
              <w:rPr>
                <w:color w:val="0E101A"/>
              </w:rPr>
            </w:pPr>
            <w:r>
              <w:rPr>
                <w:color w:val="0E101A"/>
              </w:rPr>
              <w:t>Have you ever experienced side effects from using FW?</w:t>
            </w:r>
          </w:p>
        </w:tc>
        <w:tc>
          <w:tcPr>
            <w:tcW w:w="2220" w:type="pct"/>
            <w:tcBorders>
              <w:top w:val="single" w:sz="4" w:space="0" w:color="auto"/>
              <w:bottom w:val="single" w:sz="4" w:space="0" w:color="auto"/>
            </w:tcBorders>
          </w:tcPr>
          <w:p w:rsidR="003451D7" w:rsidRDefault="00715CE0">
            <w:pPr>
              <w:pStyle w:val="NormalWeb"/>
              <w:spacing w:before="0" w:beforeAutospacing="0" w:after="0" w:afterAutospacing="0"/>
              <w:jc w:val="center"/>
              <w:rPr>
                <w:color w:val="0E101A"/>
              </w:rPr>
            </w:pPr>
            <w:r>
              <w:rPr>
                <w:color w:val="0E101A"/>
              </w:rPr>
              <w:t>Yes</w:t>
            </w:r>
          </w:p>
        </w:tc>
        <w:tc>
          <w:tcPr>
            <w:tcW w:w="1290" w:type="pct"/>
            <w:gridSpan w:val="2"/>
            <w:tcBorders>
              <w:top w:val="single" w:sz="4" w:space="0" w:color="auto"/>
              <w:bottom w:val="single" w:sz="4" w:space="0" w:color="auto"/>
            </w:tcBorders>
          </w:tcPr>
          <w:p w:rsidR="003451D7" w:rsidRDefault="00715CE0">
            <w:pPr>
              <w:pStyle w:val="NormalWeb"/>
              <w:spacing w:before="0" w:beforeAutospacing="0" w:after="0" w:afterAutospacing="0"/>
              <w:jc w:val="center"/>
              <w:rPr>
                <w:color w:val="0E101A"/>
              </w:rPr>
            </w:pPr>
            <w:r>
              <w:rPr>
                <w:color w:val="0E101A"/>
              </w:rPr>
              <w:t>66.5%</w:t>
            </w:r>
          </w:p>
        </w:tc>
      </w:tr>
      <w:tr w:rsidR="003451D7">
        <w:trPr>
          <w:gridAfter w:val="1"/>
          <w:wAfter w:w="3" w:type="pct"/>
        </w:trPr>
        <w:tc>
          <w:tcPr>
            <w:tcW w:w="1490" w:type="pct"/>
            <w:vMerge/>
            <w:tcBorders>
              <w:top w:val="nil"/>
              <w:bottom w:val="single" w:sz="4" w:space="0" w:color="auto"/>
            </w:tcBorders>
            <w:vAlign w:val="center"/>
          </w:tcPr>
          <w:p w:rsidR="003451D7" w:rsidRDefault="003451D7">
            <w:pPr>
              <w:pStyle w:val="NormalWeb"/>
              <w:spacing w:before="0" w:beforeAutospacing="0" w:after="0" w:afterAutospacing="0"/>
              <w:rPr>
                <w:color w:val="0E101A"/>
              </w:rPr>
            </w:pPr>
          </w:p>
        </w:tc>
        <w:tc>
          <w:tcPr>
            <w:tcW w:w="2220" w:type="pct"/>
            <w:tcBorders>
              <w:top w:val="single" w:sz="4" w:space="0" w:color="auto"/>
              <w:bottom w:val="single" w:sz="4" w:space="0" w:color="auto"/>
            </w:tcBorders>
          </w:tcPr>
          <w:p w:rsidR="003451D7" w:rsidRDefault="00715CE0">
            <w:pPr>
              <w:pStyle w:val="NormalWeb"/>
              <w:spacing w:before="0" w:beforeAutospacing="0" w:after="0" w:afterAutospacing="0"/>
              <w:jc w:val="center"/>
              <w:rPr>
                <w:color w:val="0E101A"/>
              </w:rPr>
            </w:pPr>
            <w:r>
              <w:rPr>
                <w:color w:val="0E101A"/>
              </w:rPr>
              <w:t>No</w:t>
            </w:r>
          </w:p>
        </w:tc>
        <w:tc>
          <w:tcPr>
            <w:tcW w:w="1287" w:type="pct"/>
            <w:tcBorders>
              <w:top w:val="single" w:sz="4" w:space="0" w:color="auto"/>
              <w:bottom w:val="single" w:sz="4" w:space="0" w:color="auto"/>
            </w:tcBorders>
          </w:tcPr>
          <w:p w:rsidR="003451D7" w:rsidRDefault="00715CE0">
            <w:pPr>
              <w:pStyle w:val="NormalWeb"/>
              <w:spacing w:before="0" w:beforeAutospacing="0" w:after="0" w:afterAutospacing="0"/>
              <w:jc w:val="center"/>
              <w:rPr>
                <w:color w:val="0E101A"/>
              </w:rPr>
            </w:pPr>
            <w:r>
              <w:rPr>
                <w:color w:val="0E101A"/>
              </w:rPr>
              <w:t>33.5%</w:t>
            </w:r>
          </w:p>
        </w:tc>
      </w:tr>
      <w:tr w:rsidR="003451D7">
        <w:trPr>
          <w:gridAfter w:val="1"/>
          <w:wAfter w:w="3" w:type="pct"/>
          <w:trHeight w:val="584"/>
        </w:trPr>
        <w:tc>
          <w:tcPr>
            <w:tcW w:w="1490" w:type="pct"/>
            <w:vMerge w:val="restart"/>
            <w:tcBorders>
              <w:top w:val="single" w:sz="4" w:space="0" w:color="auto"/>
            </w:tcBorders>
            <w:vAlign w:val="center"/>
          </w:tcPr>
          <w:p w:rsidR="003451D7" w:rsidRDefault="00715CE0">
            <w:pPr>
              <w:pStyle w:val="NormalWeb"/>
              <w:spacing w:before="0" w:beforeAutospacing="0" w:after="0" w:afterAutospacing="0"/>
              <w:rPr>
                <w:color w:val="0E101A"/>
              </w:rPr>
            </w:pPr>
            <w:r>
              <w:rPr>
                <w:color w:val="0E101A"/>
              </w:rPr>
              <w:t xml:space="preserve">Do you believe </w:t>
            </w:r>
            <w:r>
              <w:t>heavy metal</w:t>
            </w:r>
            <w:r>
              <w:rPr>
                <w:color w:val="0E101A"/>
              </w:rPr>
              <w:t>s and steroids are used in FW due to a lack of regulation in Pakistan?</w:t>
            </w:r>
          </w:p>
        </w:tc>
        <w:tc>
          <w:tcPr>
            <w:tcW w:w="2220" w:type="pct"/>
            <w:tcBorders>
              <w:top w:val="single" w:sz="4" w:space="0" w:color="auto"/>
            </w:tcBorders>
          </w:tcPr>
          <w:p w:rsidR="003451D7" w:rsidRDefault="00715CE0">
            <w:pPr>
              <w:pStyle w:val="NormalWeb"/>
              <w:spacing w:before="0" w:beforeAutospacing="0" w:after="0" w:afterAutospacing="0"/>
              <w:jc w:val="center"/>
              <w:rPr>
                <w:color w:val="0E101A"/>
              </w:rPr>
            </w:pPr>
            <w:r>
              <w:rPr>
                <w:color w:val="0E101A"/>
              </w:rPr>
              <w:t>Yes</w:t>
            </w:r>
          </w:p>
        </w:tc>
        <w:tc>
          <w:tcPr>
            <w:tcW w:w="1287" w:type="pct"/>
            <w:tcBorders>
              <w:top w:val="single" w:sz="4" w:space="0" w:color="auto"/>
            </w:tcBorders>
          </w:tcPr>
          <w:p w:rsidR="003451D7" w:rsidRDefault="00715CE0">
            <w:pPr>
              <w:pStyle w:val="NormalWeb"/>
              <w:spacing w:after="0"/>
              <w:jc w:val="center"/>
              <w:rPr>
                <w:color w:val="0E101A"/>
              </w:rPr>
            </w:pPr>
            <w:r>
              <w:rPr>
                <w:color w:val="0E101A"/>
              </w:rPr>
              <w:t>79%</w:t>
            </w:r>
          </w:p>
        </w:tc>
      </w:tr>
      <w:tr w:rsidR="003451D7">
        <w:tc>
          <w:tcPr>
            <w:tcW w:w="1490" w:type="pct"/>
            <w:vMerge/>
            <w:vAlign w:val="center"/>
          </w:tcPr>
          <w:p w:rsidR="003451D7" w:rsidRDefault="003451D7">
            <w:pPr>
              <w:pStyle w:val="NormalWeb"/>
              <w:spacing w:before="0" w:beforeAutospacing="0" w:after="0" w:afterAutospacing="0"/>
              <w:rPr>
                <w:color w:val="0E101A"/>
              </w:rPr>
            </w:pPr>
          </w:p>
        </w:tc>
        <w:tc>
          <w:tcPr>
            <w:tcW w:w="2220" w:type="pct"/>
          </w:tcPr>
          <w:p w:rsidR="003451D7" w:rsidRDefault="00715CE0">
            <w:pPr>
              <w:pStyle w:val="NormalWeb"/>
              <w:spacing w:before="0" w:beforeAutospacing="0" w:after="0" w:afterAutospacing="0"/>
              <w:jc w:val="center"/>
              <w:rPr>
                <w:color w:val="0E101A"/>
              </w:rPr>
            </w:pPr>
            <w:r>
              <w:rPr>
                <w:color w:val="0E101A"/>
              </w:rPr>
              <w:t>No</w:t>
            </w:r>
          </w:p>
        </w:tc>
        <w:tc>
          <w:tcPr>
            <w:tcW w:w="1290" w:type="pct"/>
            <w:gridSpan w:val="2"/>
          </w:tcPr>
          <w:p w:rsidR="003451D7" w:rsidRDefault="00715CE0">
            <w:pPr>
              <w:pStyle w:val="NormalWeb"/>
              <w:spacing w:before="0" w:beforeAutospacing="0" w:after="0" w:afterAutospacing="0"/>
              <w:jc w:val="center"/>
              <w:rPr>
                <w:color w:val="0E101A"/>
              </w:rPr>
            </w:pPr>
            <w:r>
              <w:rPr>
                <w:color w:val="0E101A"/>
              </w:rPr>
              <w:t>21%</w:t>
            </w:r>
          </w:p>
        </w:tc>
      </w:tr>
    </w:tbl>
    <w:p w:rsidR="003451D7" w:rsidRDefault="003451D7">
      <w:pPr>
        <w:spacing w:before="240" w:line="360" w:lineRule="auto"/>
        <w:rPr>
          <w:rFonts w:ascii="Times New Roman" w:hAnsi="Times New Roman" w:cs="Times New Roman"/>
          <w:sz w:val="24"/>
          <w:szCs w:val="24"/>
        </w:rPr>
      </w:pPr>
    </w:p>
    <w:p w:rsidR="003451D7" w:rsidRDefault="003451D7">
      <w:pPr>
        <w:spacing w:before="240" w:line="360" w:lineRule="auto"/>
        <w:rPr>
          <w:rFonts w:ascii="Times New Roman" w:hAnsi="Times New Roman" w:cs="Times New Roman"/>
          <w:sz w:val="24"/>
          <w:szCs w:val="24"/>
        </w:rPr>
      </w:pPr>
    </w:p>
    <w:p w:rsidR="003451D7" w:rsidRDefault="00715CE0">
      <w:pPr>
        <w:pStyle w:val="Heading2"/>
        <w:rPr>
          <w:rFonts w:cs="Times New Roman"/>
        </w:rPr>
      </w:pPr>
      <w:bookmarkStart w:id="150" w:name="_Hlk200662696"/>
      <w:bookmarkStart w:id="151" w:name="_Toc208820417"/>
      <w:bookmarkStart w:id="152" w:name="_Toc202982309"/>
      <w:bookmarkStart w:id="153" w:name="_Toc202990378"/>
      <w:r>
        <w:rPr>
          <w:rFonts w:cs="Times New Roman"/>
        </w:rPr>
        <w:t xml:space="preserve">Physicochemical Parameters </w:t>
      </w:r>
      <w:bookmarkEnd w:id="150"/>
      <w:r>
        <w:rPr>
          <w:rFonts w:cs="Times New Roman"/>
        </w:rPr>
        <w:t>of Face Wash Samples:</w:t>
      </w:r>
      <w:bookmarkEnd w:id="151"/>
      <w:bookmarkEnd w:id="152"/>
      <w:bookmarkEnd w:id="153"/>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fundamental physicochemical properties of the analyzed face wash samples, namely pH and temperature, are crucial indicators of product quality, stability, and potential dermal compatibility.</w:t>
      </w:r>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154" w:name="_Toc208820418"/>
      <w:bookmarkStart w:id="155" w:name="_Toc202982310"/>
      <w:bookmarkStart w:id="156" w:name="_Toc202990379"/>
      <w:r>
        <w:rPr>
          <w:rFonts w:cs="Times New Roman"/>
        </w:rPr>
        <w:lastRenderedPageBreak/>
        <w:t>pH Levels:</w:t>
      </w:r>
      <w:bookmarkEnd w:id="154"/>
      <w:bookmarkEnd w:id="155"/>
      <w:bookmarkEnd w:id="156"/>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pH values obtained for the various face wash samples, as illustrated in Figure 4.12, generally fell within the range of 5.9 to 7.7. Notably, no samples were found to have pH values within the optimal range for healthy skin 4.5-5.75 </w:t>
      </w:r>
      <w:r>
        <w:rPr>
          <w:rFonts w:ascii="Times New Roman" w:hAnsi="Times New Roman" w:cs="Times New Roman"/>
          <w:color w:val="000000"/>
          <w:sz w:val="24"/>
          <w:szCs w:val="24"/>
        </w:rPr>
        <w:t xml:space="preserve">(California Skin Institute, 2023). </w:t>
      </w:r>
      <w:r>
        <w:rPr>
          <w:rFonts w:ascii="Times New Roman" w:hAnsi="Times New Roman" w:cs="Times New Roman"/>
          <w:sz w:val="24"/>
          <w:szCs w:val="24"/>
        </w:rPr>
        <w:t>All pH values were above this healthy range. For instance, Sample 8 recorded the highest pH at 7.7, while Sample 10 showed the lowest at 5.9. Face washes with excessively alkaline pH can disrupt this protective layer, potentially leading to dryness, irritation, and increased susceptibility to bacterial or fungal infections. Conversely, highly acidic formulations might also cause skin sensitivity and redness. The observed deviations in several samples highlight a potential concern regarding dermal compatibility and reinforce the importance of maintaining a pH balance in cosmetic formulations, consistent with dermatological recommendations.</w:t>
      </w:r>
    </w:p>
    <w:p w:rsidR="003451D7" w:rsidRDefault="00715CE0">
      <w:pPr>
        <w:pStyle w:val="Heading3"/>
        <w:rPr>
          <w:rFonts w:cs="Times New Roman"/>
        </w:rPr>
      </w:pPr>
      <w:bookmarkStart w:id="157" w:name="_Toc202982311"/>
      <w:bookmarkStart w:id="158" w:name="_Toc202990380"/>
      <w:bookmarkStart w:id="159" w:name="_Toc208820419"/>
      <w:r>
        <w:rPr>
          <w:rFonts w:cs="Times New Roman"/>
        </w:rPr>
        <w:t>Temperature Levels:</w:t>
      </w:r>
      <w:bookmarkEnd w:id="157"/>
      <w:bookmarkEnd w:id="158"/>
      <w:bookmarkEnd w:id="159"/>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4.13 presents the temperature measurements recorded for the face wash samples during analysis, which ranged from 22.2 to 26.5°C, with an average temperature of 24.17 °C. These readings reflect the ambient conditions under which the samples were analyzed rather than an intrinsic property of the product itself. Although temperature is not a direct chemical parameter, e.g. pH, it is an essential parameter that impacts on stability and integrity of cosmetic formulations in storage, transportation and usage of cosmetics. </w:t>
      </w:r>
    </w:p>
    <w:p w:rsidR="003451D7" w:rsidRDefault="003451D7">
      <w:pPr>
        <w:spacing w:before="240" w:line="360" w:lineRule="auto"/>
        <w:rPr>
          <w:rFonts w:ascii="Times New Roman" w:hAnsi="Times New Roman" w:cs="Times New Roman"/>
          <w:sz w:val="24"/>
          <w:szCs w:val="24"/>
        </w:rPr>
      </w:pPr>
    </w:p>
    <w:p w:rsidR="003451D7" w:rsidRDefault="00715CE0">
      <w:pPr>
        <w:pStyle w:val="Caption"/>
        <w:keepNext/>
        <w:jc w:val="center"/>
        <w:rPr>
          <w:rFonts w:ascii="Times New Roman" w:hAnsi="Times New Roman" w:cs="Times New Roman"/>
          <w:color w:val="auto"/>
          <w:sz w:val="22"/>
          <w:szCs w:val="22"/>
        </w:rPr>
      </w:pPr>
      <w:bookmarkStart w:id="160" w:name="_Toc204038317"/>
      <w:r>
        <w:rPr>
          <w:rFonts w:ascii="Times New Roman" w:hAnsi="Times New Roman" w:cs="Times New Roman"/>
          <w:b/>
          <w:bCs/>
          <w:color w:val="auto"/>
          <w:sz w:val="22"/>
          <w:szCs w:val="22"/>
        </w:rPr>
        <w:t xml:space="preserve">Table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Table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Results of Temperature and pH</w:t>
      </w:r>
      <w:bookmarkEnd w:id="160"/>
    </w:p>
    <w:tbl>
      <w:tblPr>
        <w:tblW w:w="5000" w:type="pct"/>
        <w:tblLook w:val="04A0" w:firstRow="1" w:lastRow="0" w:firstColumn="1" w:lastColumn="0" w:noHBand="0" w:noVBand="1"/>
      </w:tblPr>
      <w:tblGrid>
        <w:gridCol w:w="1684"/>
        <w:gridCol w:w="2913"/>
        <w:gridCol w:w="2623"/>
        <w:gridCol w:w="2140"/>
      </w:tblGrid>
      <w:tr w:rsidR="003451D7">
        <w:trPr>
          <w:trHeight w:val="125"/>
        </w:trPr>
        <w:tc>
          <w:tcPr>
            <w:tcW w:w="2456" w:type="pct"/>
            <w:gridSpan w:val="2"/>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Sr. No.</w:t>
            </w:r>
          </w:p>
        </w:tc>
        <w:tc>
          <w:tcPr>
            <w:tcW w:w="1401" w:type="pct"/>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Temperature</w:t>
            </w:r>
          </w:p>
        </w:tc>
        <w:tc>
          <w:tcPr>
            <w:tcW w:w="1143" w:type="pct"/>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pH</w:t>
            </w:r>
          </w:p>
        </w:tc>
      </w:tr>
      <w:tr w:rsidR="003451D7">
        <w:trPr>
          <w:trHeight w:val="113"/>
        </w:trPr>
        <w:tc>
          <w:tcPr>
            <w:tcW w:w="900"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1</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22.33333</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6.33</w:t>
            </w:r>
          </w:p>
        </w:tc>
      </w:tr>
      <w:tr w:rsidR="003451D7">
        <w:trPr>
          <w:trHeight w:val="113"/>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0.471405</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0.471405</w:t>
            </w:r>
          </w:p>
        </w:tc>
      </w:tr>
      <w:tr w:rsidR="003451D7">
        <w:trPr>
          <w:trHeight w:val="57"/>
        </w:trPr>
        <w:tc>
          <w:tcPr>
            <w:tcW w:w="900"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2</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22.83333</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6.17</w:t>
            </w:r>
          </w:p>
        </w:tc>
      </w:tr>
      <w:tr w:rsidR="003451D7">
        <w:trPr>
          <w:trHeight w:val="57"/>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0.235702</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0.235702</w:t>
            </w:r>
          </w:p>
        </w:tc>
      </w:tr>
      <w:tr w:rsidR="003451D7">
        <w:trPr>
          <w:trHeight w:val="113"/>
        </w:trPr>
        <w:tc>
          <w:tcPr>
            <w:tcW w:w="900"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3</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22.16667</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7.30</w:t>
            </w:r>
          </w:p>
        </w:tc>
      </w:tr>
      <w:tr w:rsidR="003451D7">
        <w:trPr>
          <w:trHeight w:val="113"/>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0.849837</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0.216025</w:t>
            </w:r>
          </w:p>
        </w:tc>
      </w:tr>
      <w:tr w:rsidR="003451D7">
        <w:trPr>
          <w:trHeight w:val="57"/>
        </w:trPr>
        <w:tc>
          <w:tcPr>
            <w:tcW w:w="900"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4</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23.66667</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6.30</w:t>
            </w:r>
          </w:p>
        </w:tc>
      </w:tr>
      <w:tr w:rsidR="003451D7">
        <w:trPr>
          <w:trHeight w:val="57"/>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0.471405</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0.216025</w:t>
            </w:r>
          </w:p>
        </w:tc>
      </w:tr>
      <w:tr w:rsidR="003451D7">
        <w:trPr>
          <w:trHeight w:val="57"/>
        </w:trPr>
        <w:tc>
          <w:tcPr>
            <w:tcW w:w="900"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5</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24.5</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6.83</w:t>
            </w:r>
          </w:p>
        </w:tc>
      </w:tr>
      <w:tr w:rsidR="003451D7">
        <w:trPr>
          <w:trHeight w:val="57"/>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0.408248</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0.235702</w:t>
            </w:r>
          </w:p>
        </w:tc>
      </w:tr>
      <w:tr w:rsidR="003451D7">
        <w:trPr>
          <w:trHeight w:val="20"/>
        </w:trPr>
        <w:tc>
          <w:tcPr>
            <w:tcW w:w="900"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6</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24.66667</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7.22</w:t>
            </w:r>
          </w:p>
        </w:tc>
      </w:tr>
      <w:tr w:rsidR="003451D7">
        <w:trPr>
          <w:trHeight w:val="20"/>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0.471405</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0.207579</w:t>
            </w:r>
          </w:p>
        </w:tc>
      </w:tr>
      <w:tr w:rsidR="003451D7">
        <w:trPr>
          <w:trHeight w:val="57"/>
        </w:trPr>
        <w:tc>
          <w:tcPr>
            <w:tcW w:w="900"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7</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25.66667</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w:t>
            </w:r>
          </w:p>
        </w:tc>
      </w:tr>
      <w:tr w:rsidR="003451D7">
        <w:trPr>
          <w:trHeight w:val="20"/>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0.471405</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0.408248</w:t>
            </w:r>
          </w:p>
        </w:tc>
      </w:tr>
      <w:tr w:rsidR="003451D7">
        <w:trPr>
          <w:trHeight w:val="20"/>
        </w:trPr>
        <w:tc>
          <w:tcPr>
            <w:tcW w:w="900"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8</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26.5</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7.67</w:t>
            </w:r>
          </w:p>
        </w:tc>
      </w:tr>
      <w:tr w:rsidR="003451D7">
        <w:trPr>
          <w:trHeight w:val="20"/>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0.408248</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0.235702</w:t>
            </w:r>
          </w:p>
        </w:tc>
      </w:tr>
      <w:tr w:rsidR="003451D7">
        <w:trPr>
          <w:trHeight w:val="20"/>
        </w:trPr>
        <w:tc>
          <w:tcPr>
            <w:tcW w:w="900"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9</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24.66667</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6.43</w:t>
            </w:r>
          </w:p>
        </w:tc>
      </w:tr>
      <w:tr w:rsidR="003451D7">
        <w:trPr>
          <w:trHeight w:val="20"/>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0.235702</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0.329983</w:t>
            </w:r>
          </w:p>
        </w:tc>
      </w:tr>
      <w:tr w:rsidR="003451D7">
        <w:trPr>
          <w:trHeight w:val="20"/>
        </w:trPr>
        <w:tc>
          <w:tcPr>
            <w:tcW w:w="900" w:type="pct"/>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10</w:t>
            </w:r>
          </w:p>
        </w:tc>
        <w:tc>
          <w:tcPr>
            <w:tcW w:w="155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1401"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24.66667</w:t>
            </w:r>
          </w:p>
        </w:tc>
        <w:tc>
          <w:tcPr>
            <w:tcW w:w="1143"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5.90</w:t>
            </w:r>
          </w:p>
        </w:tc>
      </w:tr>
      <w:tr w:rsidR="003451D7">
        <w:trPr>
          <w:trHeight w:val="20"/>
        </w:trPr>
        <w:tc>
          <w:tcPr>
            <w:tcW w:w="900"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color w:val="000000"/>
              </w:rPr>
            </w:pPr>
          </w:p>
        </w:tc>
        <w:tc>
          <w:tcPr>
            <w:tcW w:w="155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1401"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0.471405</w:t>
            </w:r>
          </w:p>
        </w:tc>
        <w:tc>
          <w:tcPr>
            <w:tcW w:w="1143"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0.08165</w:t>
            </w:r>
          </w:p>
        </w:tc>
      </w:tr>
      <w:tr w:rsidR="003451D7">
        <w:trPr>
          <w:trHeight w:val="57"/>
        </w:trPr>
        <w:tc>
          <w:tcPr>
            <w:tcW w:w="2456" w:type="pct"/>
            <w:gridSpan w:val="2"/>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hAnsi="Times New Roman" w:cs="Times New Roman"/>
                <w:b/>
                <w:bCs/>
              </w:rPr>
              <w:t>Optimal Range for Healthy Skin</w:t>
            </w:r>
          </w:p>
        </w:tc>
        <w:tc>
          <w:tcPr>
            <w:tcW w:w="2544" w:type="pct"/>
            <w:gridSpan w:val="2"/>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hAnsi="Times New Roman" w:cs="Times New Roman"/>
              </w:rPr>
              <w:t>4.5-5.75</w:t>
            </w:r>
          </w:p>
        </w:tc>
      </w:tr>
    </w:tbl>
    <w:p w:rsidR="003451D7" w:rsidRDefault="003451D7">
      <w:pPr>
        <w:spacing w:before="240" w:line="360" w:lineRule="auto"/>
        <w:rPr>
          <w:rFonts w:ascii="Times New Roman" w:hAnsi="Times New Roman" w:cs="Times New Roman"/>
          <w:sz w:val="24"/>
          <w:szCs w:val="24"/>
        </w:rPr>
      </w:pPr>
    </w:p>
    <w:p w:rsidR="003451D7" w:rsidRDefault="00715CE0">
      <w:pPr>
        <w:pStyle w:val="Heading2"/>
        <w:rPr>
          <w:rFonts w:cs="Times New Roman"/>
        </w:rPr>
      </w:pPr>
      <w:bookmarkStart w:id="161" w:name="_Toc208820420"/>
      <w:bookmarkStart w:id="162" w:name="_Toc202982312"/>
      <w:bookmarkStart w:id="163" w:name="_Toc202990381"/>
      <w:r>
        <w:rPr>
          <w:rFonts w:cs="Times New Roman"/>
        </w:rPr>
        <w:t>Concentrations of Heavy Metals in Face Wash Samples:</w:t>
      </w:r>
      <w:bookmarkEnd w:id="161"/>
      <w:bookmarkEnd w:id="162"/>
      <w:bookmarkEnd w:id="163"/>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 this section, the concentrations of five major heavy metals (Cadmium, Chromium, Nickel, Lead, and Copper) that were found in the samples of locally manufactured face wash addressing the first objective. The fact that heavy metals in cosmetic products are not only present in high concentrations but also in minor amounts is a great cause of concern because they might be toxic and accumulate in the human body (Borowska &amp; BrzOska et al., 2015; Ghaderpoori et al., 2020).</w:t>
      </w:r>
    </w:p>
    <w:p w:rsidR="003451D7" w:rsidRDefault="003451D7">
      <w:pPr>
        <w:spacing w:before="240" w:line="360" w:lineRule="auto"/>
        <w:jc w:val="both"/>
        <w:rPr>
          <w:rFonts w:ascii="Times New Roman" w:hAnsi="Times New Roman" w:cs="Times New Roman"/>
          <w:b/>
          <w:bCs/>
          <w:sz w:val="24"/>
          <w:szCs w:val="24"/>
        </w:rPr>
      </w:pPr>
    </w:p>
    <w:p w:rsidR="003451D7" w:rsidRDefault="00715CE0">
      <w:pPr>
        <w:pStyle w:val="Heading3"/>
        <w:rPr>
          <w:rFonts w:cs="Times New Roman"/>
        </w:rPr>
      </w:pPr>
      <w:bookmarkStart w:id="164" w:name="_Toc202982415"/>
      <w:bookmarkStart w:id="165" w:name="_Toc202990484"/>
      <w:bookmarkStart w:id="166" w:name="_Toc202982416"/>
      <w:bookmarkStart w:id="167" w:name="_Toc202990485"/>
      <w:bookmarkStart w:id="168" w:name="_Toc208820421"/>
      <w:bookmarkEnd w:id="164"/>
      <w:bookmarkEnd w:id="165"/>
      <w:r>
        <w:rPr>
          <w:rFonts w:cs="Times New Roman"/>
        </w:rPr>
        <w:t>Cadmium (Cd) Concentration:</w:t>
      </w:r>
      <w:bookmarkEnd w:id="166"/>
      <w:bookmarkEnd w:id="167"/>
      <w:bookmarkEnd w:id="168"/>
    </w:p>
    <w:p w:rsidR="003451D7" w:rsidRDefault="00834F5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 Figure 4.12</w:t>
      </w:r>
      <w:r w:rsidR="00715CE0">
        <w:rPr>
          <w:rFonts w:ascii="Times New Roman" w:hAnsi="Times New Roman" w:cs="Times New Roman"/>
          <w:sz w:val="24"/>
          <w:szCs w:val="24"/>
        </w:rPr>
        <w:t xml:space="preserve"> the concentration of Cd in the samples of face wash analyzed was graphically illustrated. Cadmium was detected in 7 samples in a range of 0 to 1.06 ppm. In particular, FWS-10 had the maximum Cd concentration of 1.06 ppm that exceeded the common tracing impurity levels of the EU and WHO but not exceeding the USFDA. FWS-3 (0.93 ppm), FWS-1 (0.66 ppm), FWS-6 (0.63 ppm) also had the concentration that surpassed EU and WHO limits. On the contrary, the concentration of FWS-9 (0.24 ppm), FWS-2 (0.13 ppm) and FWS-5 (0.03 ppm) were within the EU, WHO and USFDA values. In the remaining three samples the concentration was zero (Slave &amp; Sonwane, 2015) similarly found detectable cadmium levels in face wash samples in India, attributing their presence to poor manufacturing practices and raw material contamination, further supporting the concerns raised by the current findings.</w:t>
      </w:r>
      <w:r w:rsidR="00715CE0">
        <w:t xml:space="preserve"> </w:t>
      </w:r>
      <w:r w:rsidR="00715CE0">
        <w:rPr>
          <w:rFonts w:ascii="Times New Roman" w:hAnsi="Times New Roman" w:cs="Times New Roman"/>
          <w:sz w:val="24"/>
          <w:szCs w:val="24"/>
        </w:rPr>
        <w:t>Majority of the eye pencil samples in Pakistan also have detectable cadmium levels that vary between 0.07 and 1.93 (Habib et al., 2024).</w:t>
      </w:r>
    </w:p>
    <w:p w:rsidR="003451D7" w:rsidRDefault="003451D7">
      <w:pPr>
        <w:jc w:val="both"/>
        <w:rPr>
          <w:rFonts w:ascii="Times New Roman" w:hAnsi="Times New Roman" w:cs="Times New Roman"/>
          <w:sz w:val="24"/>
          <w:szCs w:val="24"/>
        </w:rPr>
      </w:pPr>
    </w:p>
    <w:p w:rsidR="003451D7" w:rsidRDefault="00834F5C">
      <w:pPr>
        <w:keepNext/>
        <w:jc w:val="center"/>
        <w:rPr>
          <w:rFonts w:ascii="Times New Roman" w:hAnsi="Times New Roman" w:cs="Times New Roman"/>
        </w:rPr>
      </w:pPr>
      <w:r>
        <w:rPr>
          <w:rFonts w:ascii="Times New Roman" w:hAnsi="Times New Roman" w:cs="Times New Roman"/>
          <w:noProof/>
        </w:rPr>
        <w:lastRenderedPageBreak/>
        <w:drawing>
          <wp:inline distT="0" distB="0" distL="0" distR="0">
            <wp:extent cx="5943600" cy="33737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d.PNG"/>
                    <pic:cNvPicPr/>
                  </pic:nvPicPr>
                  <pic:blipFill>
                    <a:blip r:embed="rId66">
                      <a:extLst>
                        <a:ext uri="{28A0092B-C50C-407E-A947-70E740481C1C}">
                          <a14:useLocalDpi xmlns:a14="http://schemas.microsoft.com/office/drawing/2010/main" val="0"/>
                        </a:ext>
                      </a:extLst>
                    </a:blip>
                    <a:stretch>
                      <a:fillRect/>
                    </a:stretch>
                  </pic:blipFill>
                  <pic:spPr>
                    <a:xfrm>
                      <a:off x="0" y="0"/>
                      <a:ext cx="5943600" cy="3373755"/>
                    </a:xfrm>
                    <a:prstGeom prst="rect">
                      <a:avLst/>
                    </a:prstGeom>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169" w:name="_Toc204038300"/>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12</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sidRPr="00A17141">
        <w:rPr>
          <w:rFonts w:ascii="Times New Roman" w:hAnsi="Times New Roman" w:cs="Times New Roman"/>
          <w:color w:val="auto"/>
          <w:sz w:val="22"/>
          <w:szCs w:val="22"/>
        </w:rPr>
        <w:t>Cadmium Concentration in Different Samples of Face Wash</w:t>
      </w:r>
      <w:bookmarkEnd w:id="169"/>
    </w:p>
    <w:p w:rsidR="003451D7" w:rsidRDefault="003451D7">
      <w:pPr>
        <w:rPr>
          <w:rFonts w:ascii="Times New Roman" w:hAnsi="Times New Roman" w:cs="Times New Roman"/>
          <w:sz w:val="24"/>
          <w:szCs w:val="24"/>
        </w:rPr>
      </w:pPr>
    </w:p>
    <w:p w:rsidR="003451D7" w:rsidRDefault="00715CE0">
      <w:pPr>
        <w:pStyle w:val="Heading3"/>
        <w:rPr>
          <w:rFonts w:cs="Times New Roman"/>
        </w:rPr>
      </w:pPr>
      <w:bookmarkStart w:id="170" w:name="_Toc202982417"/>
      <w:bookmarkStart w:id="171" w:name="_Toc202990486"/>
      <w:bookmarkStart w:id="172" w:name="_Toc208820422"/>
      <w:r>
        <w:rPr>
          <w:rFonts w:cs="Times New Roman"/>
        </w:rPr>
        <w:t>Chromium (Cr) Concentration</w:t>
      </w:r>
      <w:bookmarkEnd w:id="170"/>
      <w:bookmarkEnd w:id="171"/>
      <w:bookmarkEnd w:id="172"/>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concentrations of Chromium (Cr) in different samples of face wash are depicted </w:t>
      </w:r>
      <w:r w:rsidR="000C38C8">
        <w:rPr>
          <w:rFonts w:ascii="Times New Roman" w:hAnsi="Times New Roman" w:cs="Times New Roman"/>
          <w:sz w:val="24"/>
          <w:szCs w:val="24"/>
        </w:rPr>
        <w:t>in figure 4.13</w:t>
      </w:r>
      <w:r>
        <w:rPr>
          <w:rFonts w:ascii="Times New Roman" w:hAnsi="Times New Roman" w:cs="Times New Roman"/>
          <w:sz w:val="24"/>
          <w:szCs w:val="24"/>
        </w:rPr>
        <w:t>. Chromium was detected in 70 percent of the samples and the measured values were between 0-0.93 ppm. The highest concentration of Cr was measured in FWS 10 with 0.93 ppm. All of the samples were under the EU and USFDA limits. Chromium was also found in FWS-5 (0.72 ppm), FWS-1 (0.47 ppm), FWS-8 (0.33 ppm), FWS-9 (0.18 ppm), FWS-3 (0.05 ppm) and FWS-4 (0.04 ppm). The other three samples were of zero concentration. Compared to the study conducted by (Rasheed et al., 2023), the concentrations of Cr in the cosmetics that are sold in Quetta, Pakistan, were relatively higher and associated with several complications, such as systemic toxicity, allergies, and dermatitis. In their study, (Ehsan et al., 2024) discovered that the concentration of Cr among whitening creams found in the local market of Pakistan was between 0.16 and 0.74, which is also relatable to our research</w:t>
      </w:r>
      <w:r>
        <w:rPr>
          <w:rFonts w:ascii="Times New Roman" w:hAnsi="Times New Roman" w:cs="Times New Roman"/>
          <w:color w:val="000000"/>
          <w:sz w:val="24"/>
          <w:szCs w:val="24"/>
        </w:rPr>
        <w:t>.</w:t>
      </w:r>
    </w:p>
    <w:p w:rsidR="003451D7" w:rsidRPr="00847007" w:rsidRDefault="00834F5C" w:rsidP="00847007">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768840" cy="3848433"/>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r.PNG"/>
                    <pic:cNvPicPr/>
                  </pic:nvPicPr>
                  <pic:blipFill>
                    <a:blip r:embed="rId67">
                      <a:extLst>
                        <a:ext uri="{28A0092B-C50C-407E-A947-70E740481C1C}">
                          <a14:useLocalDpi xmlns:a14="http://schemas.microsoft.com/office/drawing/2010/main" val="0"/>
                        </a:ext>
                      </a:extLst>
                    </a:blip>
                    <a:stretch>
                      <a:fillRect/>
                    </a:stretch>
                  </pic:blipFill>
                  <pic:spPr>
                    <a:xfrm>
                      <a:off x="0" y="0"/>
                      <a:ext cx="5768840" cy="3848433"/>
                    </a:xfrm>
                    <a:prstGeom prst="rect">
                      <a:avLst/>
                    </a:prstGeom>
                  </pic:spPr>
                </pic:pic>
              </a:graphicData>
            </a:graphic>
          </wp:inline>
        </w:drawing>
      </w:r>
      <w:bookmarkStart w:id="173" w:name="_Toc204038301"/>
      <w:bookmarkStart w:id="174" w:name="_Toc202985695"/>
      <w:bookmarkStart w:id="175" w:name="_Toc202990534"/>
      <w:r w:rsidR="00715CE0" w:rsidRPr="00847007">
        <w:rPr>
          <w:rFonts w:ascii="Times New Roman" w:hAnsi="Times New Roman" w:cs="Times New Roman"/>
          <w:b/>
          <w:bCs/>
          <w:i/>
        </w:rPr>
        <w:t xml:space="preserve">Figure </w:t>
      </w:r>
      <w:r w:rsidR="00715CE0" w:rsidRPr="00847007">
        <w:rPr>
          <w:rFonts w:ascii="Times New Roman" w:hAnsi="Times New Roman" w:cs="Times New Roman"/>
          <w:b/>
          <w:bCs/>
          <w:i/>
        </w:rPr>
        <w:fldChar w:fldCharType="begin"/>
      </w:r>
      <w:r w:rsidR="00715CE0" w:rsidRPr="00847007">
        <w:rPr>
          <w:rFonts w:ascii="Times New Roman" w:hAnsi="Times New Roman" w:cs="Times New Roman"/>
          <w:b/>
          <w:bCs/>
          <w:i/>
        </w:rPr>
        <w:instrText xml:space="preserve"> STYLEREF 1 \s </w:instrText>
      </w:r>
      <w:r w:rsidR="00715CE0" w:rsidRPr="00847007">
        <w:rPr>
          <w:rFonts w:ascii="Times New Roman" w:hAnsi="Times New Roman" w:cs="Times New Roman"/>
          <w:b/>
          <w:bCs/>
          <w:i/>
        </w:rPr>
        <w:fldChar w:fldCharType="separate"/>
      </w:r>
      <w:r w:rsidR="00DE5BAE">
        <w:rPr>
          <w:rFonts w:ascii="Times New Roman" w:hAnsi="Times New Roman" w:cs="Times New Roman"/>
          <w:b/>
          <w:bCs/>
          <w:i/>
          <w:noProof/>
        </w:rPr>
        <w:t>4</w:t>
      </w:r>
      <w:r w:rsidR="00715CE0" w:rsidRPr="00847007">
        <w:rPr>
          <w:rFonts w:ascii="Times New Roman" w:hAnsi="Times New Roman" w:cs="Times New Roman"/>
          <w:b/>
          <w:bCs/>
          <w:i/>
        </w:rPr>
        <w:fldChar w:fldCharType="end"/>
      </w:r>
      <w:r w:rsidR="00715CE0" w:rsidRPr="00847007">
        <w:rPr>
          <w:rFonts w:ascii="Times New Roman" w:hAnsi="Times New Roman" w:cs="Times New Roman"/>
          <w:b/>
          <w:bCs/>
          <w:i/>
        </w:rPr>
        <w:t>.</w:t>
      </w:r>
      <w:r w:rsidR="00715CE0" w:rsidRPr="00847007">
        <w:rPr>
          <w:rFonts w:ascii="Times New Roman" w:hAnsi="Times New Roman" w:cs="Times New Roman"/>
          <w:b/>
          <w:bCs/>
          <w:i/>
        </w:rPr>
        <w:fldChar w:fldCharType="begin"/>
      </w:r>
      <w:r w:rsidR="00715CE0" w:rsidRPr="00847007">
        <w:rPr>
          <w:rFonts w:ascii="Times New Roman" w:hAnsi="Times New Roman" w:cs="Times New Roman"/>
          <w:b/>
          <w:bCs/>
          <w:i/>
        </w:rPr>
        <w:instrText xml:space="preserve"> SEQ Figure \* ARABIC \s 1 </w:instrText>
      </w:r>
      <w:r w:rsidR="00715CE0" w:rsidRPr="00847007">
        <w:rPr>
          <w:rFonts w:ascii="Times New Roman" w:hAnsi="Times New Roman" w:cs="Times New Roman"/>
          <w:b/>
          <w:bCs/>
          <w:i/>
        </w:rPr>
        <w:fldChar w:fldCharType="separate"/>
      </w:r>
      <w:r w:rsidR="00DE5BAE">
        <w:rPr>
          <w:rFonts w:ascii="Times New Roman" w:hAnsi="Times New Roman" w:cs="Times New Roman"/>
          <w:b/>
          <w:bCs/>
          <w:i/>
          <w:noProof/>
        </w:rPr>
        <w:t>13</w:t>
      </w:r>
      <w:r w:rsidR="00715CE0" w:rsidRPr="00847007">
        <w:rPr>
          <w:rFonts w:ascii="Times New Roman" w:hAnsi="Times New Roman" w:cs="Times New Roman"/>
          <w:b/>
          <w:bCs/>
          <w:i/>
        </w:rPr>
        <w:fldChar w:fldCharType="end"/>
      </w:r>
      <w:r w:rsidR="00715CE0" w:rsidRPr="00847007">
        <w:rPr>
          <w:rFonts w:ascii="Times New Roman" w:hAnsi="Times New Roman" w:cs="Times New Roman"/>
          <w:b/>
          <w:bCs/>
          <w:i/>
        </w:rPr>
        <w:t xml:space="preserve"> </w:t>
      </w:r>
      <w:r w:rsidR="00715CE0" w:rsidRPr="00A17141">
        <w:rPr>
          <w:rFonts w:ascii="Times New Roman" w:hAnsi="Times New Roman" w:cs="Times New Roman"/>
          <w:i/>
        </w:rPr>
        <w:t>Chromium Concentration in Different Samples of Face Wash</w:t>
      </w:r>
      <w:bookmarkEnd w:id="173"/>
    </w:p>
    <w:bookmarkEnd w:id="174"/>
    <w:bookmarkEnd w:id="175"/>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176" w:name="_Toc202982418"/>
      <w:bookmarkStart w:id="177" w:name="_Toc202990487"/>
      <w:bookmarkStart w:id="178" w:name="_Toc208820423"/>
      <w:r>
        <w:rPr>
          <w:rFonts w:cs="Times New Roman"/>
        </w:rPr>
        <w:t>Nickel (Ni) Concentration</w:t>
      </w:r>
      <w:bookmarkEnd w:id="176"/>
      <w:bookmarkEnd w:id="177"/>
      <w:bookmarkEnd w:id="178"/>
    </w:p>
    <w:p w:rsidR="003451D7" w:rsidRDefault="00F81C34">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Figure 4.14</w:t>
      </w:r>
      <w:r w:rsidR="00715CE0">
        <w:rPr>
          <w:rFonts w:ascii="Times New Roman" w:hAnsi="Times New Roman" w:cs="Times New Roman"/>
          <w:sz w:val="24"/>
          <w:szCs w:val="24"/>
        </w:rPr>
        <w:t xml:space="preserve"> indicates the Nickel (Ni) concentrations of the face wash samples. Nickel was found in 6 samples (60 percent), with the minimum and maximum concentration of 0 and 0.68 ppm respectively. The concentration of Ni was the highest in FWS 7 at 0.68 ppm. The samples were found below the EU, WHO and the USFDA limits. Nickel is a widely spread epidemiologically common contact allergen and presence in cosmetic products is a known risk factor of allergic contact dermatitis (Borowska &amp; Brzoska et al., 2015). There was also a detectable concentration in FWS 2 (0.46 ppm), FWS 3 (0.27 ppm), FWS 4 (0.02 ppm), FWS 8 (0.07 ppm) and FWS 10 (0.08 ppm). Four of the samples had no concentrations. In the same way, nickel is present in large quantities in most of the cosmetic products sold in Jordan, which indicate of its widespread use and possible side effects (Ababneh &amp; Al-Momani et al., 2018).</w:t>
      </w:r>
    </w:p>
    <w:p w:rsidR="003451D7" w:rsidRDefault="003451D7">
      <w:pPr>
        <w:rPr>
          <w:rFonts w:ascii="Times New Roman" w:hAnsi="Times New Roman" w:cs="Times New Roman"/>
          <w:sz w:val="24"/>
          <w:szCs w:val="24"/>
        </w:rPr>
      </w:pPr>
    </w:p>
    <w:p w:rsidR="003451D7" w:rsidRDefault="00834F5C">
      <w:pPr>
        <w:pStyle w:val="Caption"/>
        <w:keepNext/>
        <w:jc w:val="center"/>
        <w:rPr>
          <w:rFonts w:ascii="Times New Roman" w:hAnsi="Times New Roman" w:cs="Times New Roman"/>
        </w:rPr>
      </w:pPr>
      <w:bookmarkStart w:id="179" w:name="_Toc202990535"/>
      <w:bookmarkStart w:id="180" w:name="_Toc202985696"/>
      <w:r>
        <w:rPr>
          <w:rFonts w:ascii="Times New Roman" w:hAnsi="Times New Roman" w:cs="Times New Roman"/>
          <w:noProof/>
        </w:rPr>
        <w:lastRenderedPageBreak/>
        <w:drawing>
          <wp:inline distT="0" distB="0" distL="0" distR="0">
            <wp:extent cx="5570703" cy="373412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ni.PNG"/>
                    <pic:cNvPicPr/>
                  </pic:nvPicPr>
                  <pic:blipFill>
                    <a:blip r:embed="rId68">
                      <a:extLst>
                        <a:ext uri="{28A0092B-C50C-407E-A947-70E740481C1C}">
                          <a14:useLocalDpi xmlns:a14="http://schemas.microsoft.com/office/drawing/2010/main" val="0"/>
                        </a:ext>
                      </a:extLst>
                    </a:blip>
                    <a:stretch>
                      <a:fillRect/>
                    </a:stretch>
                  </pic:blipFill>
                  <pic:spPr>
                    <a:xfrm>
                      <a:off x="0" y="0"/>
                      <a:ext cx="5570703" cy="3734124"/>
                    </a:xfrm>
                    <a:prstGeom prst="rect">
                      <a:avLst/>
                    </a:prstGeom>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181" w:name="_Toc204038302"/>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sidRPr="00A17141">
        <w:rPr>
          <w:rFonts w:ascii="Times New Roman" w:hAnsi="Times New Roman" w:cs="Times New Roman"/>
          <w:color w:val="auto"/>
          <w:sz w:val="22"/>
          <w:szCs w:val="22"/>
        </w:rPr>
        <w:t>Nickel Concentration in Different Samples of Face Wash</w:t>
      </w:r>
      <w:bookmarkEnd w:id="181"/>
    </w:p>
    <w:bookmarkEnd w:id="179"/>
    <w:bookmarkEnd w:id="180"/>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182" w:name="_Toc202982419"/>
      <w:bookmarkStart w:id="183" w:name="_Toc202990488"/>
      <w:bookmarkStart w:id="184" w:name="_Toc208820424"/>
      <w:r>
        <w:rPr>
          <w:rFonts w:cs="Times New Roman"/>
        </w:rPr>
        <w:t>Lead Concentration</w:t>
      </w:r>
      <w:bookmarkEnd w:id="182"/>
      <w:bookmarkEnd w:id="183"/>
      <w:bookmarkEnd w:id="184"/>
    </w:p>
    <w:p w:rsidR="003451D7" w:rsidRDefault="001D79A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Figure 4.15</w:t>
      </w:r>
      <w:r w:rsidR="00715CE0">
        <w:rPr>
          <w:rFonts w:ascii="Times New Roman" w:hAnsi="Times New Roman" w:cs="Times New Roman"/>
          <w:sz w:val="24"/>
          <w:szCs w:val="24"/>
        </w:rPr>
        <w:t xml:space="preserve"> presents the concentrations of Lead (Pb) noticed in the face wash samples. Lead was found in 8 out of 10 samples, with concentrations ranging from 0 to 1.26 ppm. Notably, FWS 3 showed</w:t>
      </w:r>
      <w:r w:rsidR="009A48E3">
        <w:rPr>
          <w:rFonts w:ascii="Times New Roman" w:hAnsi="Times New Roman" w:cs="Times New Roman"/>
          <w:sz w:val="24"/>
          <w:szCs w:val="24"/>
        </w:rPr>
        <w:t xml:space="preserve"> the highest Lead concentration. </w:t>
      </w:r>
      <w:r w:rsidR="00715CE0">
        <w:rPr>
          <w:rFonts w:ascii="Times New Roman" w:hAnsi="Times New Roman" w:cs="Times New Roman"/>
          <w:sz w:val="24"/>
          <w:szCs w:val="24"/>
        </w:rPr>
        <w:t xml:space="preserve">Most samples exceed the EU and WHO limits but are below the USFDA limits. FWS-1 (0.95 ppm), FWS-2 (0.73 ppm), FWS-4 (0.23 ppm), FWS-6 (0.94 ppm), FWS-7 (1.13 ppm), FWS-8 (0.14 ppm), and FWS-10 (0.64 ppm) also contained lead. The remaining two samples had zero concentrations. Studies by </w:t>
      </w:r>
      <w:r w:rsidR="00715CE0">
        <w:rPr>
          <w:rFonts w:ascii="Times New Roman" w:hAnsi="Times New Roman" w:cs="Times New Roman"/>
          <w:color w:val="000000"/>
          <w:sz w:val="24"/>
          <w:szCs w:val="24"/>
        </w:rPr>
        <w:t>(Dinake et al., 2023)</w:t>
      </w:r>
      <w:r w:rsidR="00715CE0">
        <w:rPr>
          <w:rFonts w:ascii="Times New Roman" w:hAnsi="Times New Roman" w:cs="Times New Roman"/>
          <w:sz w:val="24"/>
          <w:szCs w:val="24"/>
        </w:rPr>
        <w:t xml:space="preserve"> and </w:t>
      </w:r>
      <w:r w:rsidR="00715CE0">
        <w:rPr>
          <w:rFonts w:ascii="Times New Roman" w:hAnsi="Times New Roman" w:cs="Times New Roman"/>
          <w:color w:val="000000"/>
          <w:sz w:val="24"/>
          <w:szCs w:val="24"/>
        </w:rPr>
        <w:t>(Alam et al., 2019)</w:t>
      </w:r>
      <w:r w:rsidR="00715CE0">
        <w:rPr>
          <w:rFonts w:ascii="Times New Roman" w:hAnsi="Times New Roman" w:cs="Times New Roman"/>
          <w:sz w:val="24"/>
          <w:szCs w:val="24"/>
        </w:rPr>
        <w:t xml:space="preserve"> in Botswana and Bangladesh, respectively, consistently reported lead levels in cosmetics exceeding international safety limits, indicating a global challenge in controlling lead contamination. Furthermore, </w:t>
      </w:r>
      <w:r w:rsidR="009A48E3">
        <w:rPr>
          <w:rFonts w:ascii="Times New Roman" w:hAnsi="Times New Roman" w:cs="Times New Roman"/>
          <w:color w:val="000000"/>
          <w:sz w:val="24"/>
          <w:szCs w:val="24"/>
        </w:rPr>
        <w:t>Ullah et al., 2017</w:t>
      </w:r>
      <w:r w:rsidR="009A48E3">
        <w:rPr>
          <w:rFonts w:ascii="Times New Roman" w:hAnsi="Times New Roman" w:cs="Times New Roman"/>
          <w:sz w:val="24"/>
          <w:szCs w:val="24"/>
        </w:rPr>
        <w:t xml:space="preserve"> f</w:t>
      </w:r>
      <w:r w:rsidR="00715CE0">
        <w:rPr>
          <w:rFonts w:ascii="Times New Roman" w:hAnsi="Times New Roman" w:cs="Times New Roman"/>
          <w:sz w:val="24"/>
          <w:szCs w:val="24"/>
        </w:rPr>
        <w:t xml:space="preserve">ound particularly high mean levels of lead in cosmetics sold in Pakistan, reinforcing the findings of the present study. </w:t>
      </w:r>
      <w:r w:rsidR="00715CE0">
        <w:rPr>
          <w:rFonts w:ascii="Times New Roman" w:hAnsi="Times New Roman" w:cs="Times New Roman"/>
          <w:color w:val="000000"/>
          <w:sz w:val="24"/>
          <w:szCs w:val="24"/>
        </w:rPr>
        <w:t xml:space="preserve">(Quds et al., 2021) An analysis of herbal products available in Pakistan found </w:t>
      </w:r>
      <w:r w:rsidR="00715CE0">
        <w:rPr>
          <w:rFonts w:ascii="Times New Roman" w:eastAsia="Times New Roman" w:hAnsi="Times New Roman" w:cs="Times New Roman"/>
          <w:color w:val="0E101A"/>
          <w:sz w:val="24"/>
          <w:szCs w:val="24"/>
        </w:rPr>
        <w:t xml:space="preserve">lead (Pb) in the products, ranging from 0.034 to 1.078, which also supports the </w:t>
      </w:r>
      <w:r w:rsidR="00715CE0">
        <w:rPr>
          <w:rFonts w:ascii="Times New Roman" w:hAnsi="Times New Roman" w:cs="Times New Roman"/>
          <w:color w:val="000000"/>
          <w:sz w:val="24"/>
          <w:szCs w:val="24"/>
        </w:rPr>
        <w:t>findings from our research.</w:t>
      </w:r>
    </w:p>
    <w:p w:rsidR="003451D7" w:rsidRDefault="003451D7">
      <w:pPr>
        <w:rPr>
          <w:rFonts w:ascii="Times New Roman" w:hAnsi="Times New Roman" w:cs="Times New Roman"/>
          <w:sz w:val="24"/>
          <w:szCs w:val="24"/>
        </w:rPr>
      </w:pPr>
    </w:p>
    <w:p w:rsidR="003451D7" w:rsidRDefault="00834F5C">
      <w:pPr>
        <w:keepNext/>
        <w:jc w:val="center"/>
        <w:rPr>
          <w:rFonts w:ascii="Times New Roman" w:hAnsi="Times New Roman" w:cs="Times New Roman"/>
        </w:rPr>
      </w:pPr>
      <w:r>
        <w:rPr>
          <w:rFonts w:ascii="Times New Roman" w:hAnsi="Times New Roman" w:cs="Times New Roman"/>
          <w:noProof/>
        </w:rPr>
        <w:drawing>
          <wp:inline distT="0" distB="0" distL="0" distR="0">
            <wp:extent cx="5593565" cy="3703641"/>
            <wp:effectExtent l="0" t="0" r="762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ead.PNG"/>
                    <pic:cNvPicPr/>
                  </pic:nvPicPr>
                  <pic:blipFill>
                    <a:blip r:embed="rId69">
                      <a:extLst>
                        <a:ext uri="{28A0092B-C50C-407E-A947-70E740481C1C}">
                          <a14:useLocalDpi xmlns:a14="http://schemas.microsoft.com/office/drawing/2010/main" val="0"/>
                        </a:ext>
                      </a:extLst>
                    </a:blip>
                    <a:stretch>
                      <a:fillRect/>
                    </a:stretch>
                  </pic:blipFill>
                  <pic:spPr>
                    <a:xfrm>
                      <a:off x="0" y="0"/>
                      <a:ext cx="5593565" cy="3703641"/>
                    </a:xfrm>
                    <a:prstGeom prst="rect">
                      <a:avLst/>
                    </a:prstGeom>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185" w:name="_Toc204038303"/>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15</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sidRPr="00A17141">
        <w:rPr>
          <w:rFonts w:ascii="Times New Roman" w:hAnsi="Times New Roman" w:cs="Times New Roman"/>
          <w:color w:val="auto"/>
          <w:sz w:val="22"/>
          <w:szCs w:val="22"/>
        </w:rPr>
        <w:t>Lead Concentration in Different Samples of Face Wash</w:t>
      </w:r>
      <w:bookmarkEnd w:id="185"/>
    </w:p>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186" w:name="_Toc202990489"/>
      <w:bookmarkStart w:id="187" w:name="_Toc202982420"/>
      <w:bookmarkStart w:id="188" w:name="_Toc208820425"/>
      <w:r>
        <w:rPr>
          <w:rFonts w:cs="Times New Roman"/>
        </w:rPr>
        <w:t>Copper (Cu) Concentration</w:t>
      </w:r>
      <w:bookmarkEnd w:id="186"/>
      <w:bookmarkEnd w:id="187"/>
      <w:bookmarkEnd w:id="188"/>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Copper (Cu) concentrations in the face wash samp</w:t>
      </w:r>
      <w:r w:rsidR="00983B72">
        <w:rPr>
          <w:rFonts w:ascii="Times New Roman" w:hAnsi="Times New Roman" w:cs="Times New Roman"/>
          <w:sz w:val="24"/>
          <w:szCs w:val="24"/>
        </w:rPr>
        <w:t>les are displayed in Figure 4.16</w:t>
      </w:r>
      <w:r>
        <w:rPr>
          <w:rFonts w:ascii="Times New Roman" w:hAnsi="Times New Roman" w:cs="Times New Roman"/>
          <w:sz w:val="24"/>
          <w:szCs w:val="24"/>
        </w:rPr>
        <w:t xml:space="preserve">. Copper was detected in 5 out of 10 samples, with concentrations varying from 0 to 0.66 ppm. FWS 4 showed the highest Cu concentration at 0.66 ppm. There are no standard limits established by the WHO, the USFDA, or the EU for copper in cosmetic products. FWS-1 (0.22 ppm), FWS-6 (0.26 ppm), FWS-8 (0.09 ppm), and FWS-9 (0.05 ppm) also had detectable concentrations. All the samples were below the permissible limit of the EU. The remaining five samples had zero concentrations. </w:t>
      </w:r>
      <w:r>
        <w:rPr>
          <w:rFonts w:ascii="Times New Roman" w:hAnsi="Times New Roman" w:cs="Times New Roman"/>
          <w:color w:val="000000"/>
          <w:sz w:val="24"/>
          <w:szCs w:val="24"/>
        </w:rPr>
        <w:t>(Rasheed et al., 2023)</w:t>
      </w:r>
      <w:r>
        <w:rPr>
          <w:rFonts w:ascii="Times New Roman" w:hAnsi="Times New Roman" w:cs="Times New Roman"/>
          <w:sz w:val="24"/>
          <w:szCs w:val="24"/>
        </w:rPr>
        <w:t xml:space="preserve"> also observed comparatively greater concentrations of copper in cosmetics in Pakistan, highlighting the presence of this metal in cosmetic products. </w:t>
      </w:r>
      <w:r>
        <w:rPr>
          <w:rFonts w:ascii="Times New Roman" w:hAnsi="Times New Roman" w:cs="Times New Roman"/>
          <w:color w:val="000000"/>
          <w:sz w:val="24"/>
          <w:szCs w:val="24"/>
        </w:rPr>
        <w:t>(Ullah et al., 2017) found copper ranging from 0.031 to 6.036 in cosmetic products in Pakistan, which strengthens the result of our research.</w:t>
      </w:r>
    </w:p>
    <w:p w:rsidR="003451D7" w:rsidRDefault="003451D7">
      <w:pPr>
        <w:rPr>
          <w:rFonts w:ascii="Times New Roman" w:hAnsi="Times New Roman" w:cs="Times New Roman"/>
          <w:sz w:val="24"/>
          <w:szCs w:val="24"/>
        </w:rPr>
      </w:pPr>
    </w:p>
    <w:p w:rsidR="003451D7" w:rsidRDefault="008031F0">
      <w:pPr>
        <w:pStyle w:val="Caption"/>
        <w:keepNext/>
        <w:jc w:val="center"/>
        <w:rPr>
          <w:rFonts w:ascii="Times New Roman" w:hAnsi="Times New Roman" w:cs="Times New Roman"/>
        </w:rPr>
      </w:pPr>
      <w:bookmarkStart w:id="189" w:name="_Toc202990537"/>
      <w:bookmarkStart w:id="190" w:name="_Toc202985698"/>
      <w:r>
        <w:rPr>
          <w:rFonts w:ascii="Times New Roman" w:hAnsi="Times New Roman" w:cs="Times New Roman"/>
          <w:noProof/>
        </w:rPr>
        <w:lastRenderedPageBreak/>
        <w:drawing>
          <wp:inline distT="0" distB="0" distL="0" distR="0">
            <wp:extent cx="5662151" cy="368077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opper.PNG"/>
                    <pic:cNvPicPr/>
                  </pic:nvPicPr>
                  <pic:blipFill>
                    <a:blip r:embed="rId70">
                      <a:extLst>
                        <a:ext uri="{28A0092B-C50C-407E-A947-70E740481C1C}">
                          <a14:useLocalDpi xmlns:a14="http://schemas.microsoft.com/office/drawing/2010/main" val="0"/>
                        </a:ext>
                      </a:extLst>
                    </a:blip>
                    <a:stretch>
                      <a:fillRect/>
                    </a:stretch>
                  </pic:blipFill>
                  <pic:spPr>
                    <a:xfrm>
                      <a:off x="0" y="0"/>
                      <a:ext cx="5662151" cy="3680779"/>
                    </a:xfrm>
                    <a:prstGeom prst="rect">
                      <a:avLst/>
                    </a:prstGeom>
                  </pic:spPr>
                </pic:pic>
              </a:graphicData>
            </a:graphic>
          </wp:inline>
        </w:drawing>
      </w:r>
    </w:p>
    <w:p w:rsidR="003451D7" w:rsidRPr="00A17141" w:rsidRDefault="00715CE0">
      <w:pPr>
        <w:pStyle w:val="Caption"/>
        <w:jc w:val="center"/>
        <w:rPr>
          <w:rFonts w:ascii="Times New Roman" w:hAnsi="Times New Roman" w:cs="Times New Roman"/>
          <w:color w:val="auto"/>
          <w:sz w:val="22"/>
          <w:szCs w:val="22"/>
        </w:rPr>
      </w:pPr>
      <w:bookmarkStart w:id="191" w:name="_Toc204038304"/>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16</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sidRPr="00A17141">
        <w:rPr>
          <w:rFonts w:ascii="Times New Roman" w:hAnsi="Times New Roman" w:cs="Times New Roman"/>
          <w:color w:val="auto"/>
          <w:sz w:val="22"/>
          <w:szCs w:val="22"/>
        </w:rPr>
        <w:t>Copper Concentration in Different Samples of Face Wash</w:t>
      </w:r>
      <w:bookmarkEnd w:id="191"/>
    </w:p>
    <w:bookmarkEnd w:id="189"/>
    <w:bookmarkEnd w:id="190"/>
    <w:p w:rsidR="003451D7" w:rsidRDefault="003451D7">
      <w:pPr>
        <w:spacing w:before="240" w:line="360" w:lineRule="auto"/>
        <w:jc w:val="both"/>
        <w:rPr>
          <w:rFonts w:ascii="Times New Roman" w:hAnsi="Times New Roman" w:cs="Times New Roman"/>
          <w:sz w:val="24"/>
          <w:szCs w:val="24"/>
        </w:rPr>
      </w:pPr>
    </w:p>
    <w:p w:rsidR="003451D7" w:rsidRDefault="00715CE0">
      <w:pPr>
        <w:pStyle w:val="Heading3"/>
        <w:rPr>
          <w:rFonts w:cs="Times New Roman"/>
        </w:rPr>
      </w:pPr>
      <w:bookmarkStart w:id="192" w:name="_Toc202982421"/>
      <w:bookmarkStart w:id="193" w:name="_Toc202990490"/>
      <w:bookmarkStart w:id="194" w:name="_Toc208820426"/>
      <w:r>
        <w:rPr>
          <w:rFonts w:cs="Times New Roman"/>
        </w:rPr>
        <w:t>Comparison of Different Heavy Metal Concentrations</w:t>
      </w:r>
      <w:bookmarkEnd w:id="192"/>
      <w:bookmarkEnd w:id="193"/>
      <w:bookmarkEnd w:id="194"/>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4.4 provides a comprehensive comparative overview of the concentrations of all analyzed heavy metals across the different face wash samples. This aggregated view reveals that lead, chromium, and cadmium were generally detected at higher concentrations compared to copper and nickel across the samples. More particularly, in FWS 1, each of the heavy metals was at an alarming level. A significant problem is also the presence of multiple heavy metals in a single product, the interaction of which can be either synergistic or additive, eventually leading to the greater health risk to the consumers (Borowska &amp; Brzoska et al., 2015; Lim et al., 2018). This comparative analysis also supports the magnitude of the contamination with heavy metals in the face washes and it is consistent with findings of the studies carried out in research. To give an example, (Arshad et al., 2020) highlighted the excess of lead and nickel quantities in lotions and sunblock, as well as products for which the concentrations exceeded the acceptable rates of cancer risk during the lifetime. Along the same lines, (Kader Mohiuddin et al., 2019) gave a detailed explanation of how most of cosmetic products contain toxic heavy metals that include lead, </w:t>
      </w:r>
      <w:r>
        <w:rPr>
          <w:rFonts w:ascii="Times New Roman" w:hAnsi="Times New Roman" w:cs="Times New Roman"/>
          <w:sz w:val="24"/>
          <w:szCs w:val="24"/>
        </w:rPr>
        <w:lastRenderedPageBreak/>
        <w:t xml:space="preserve">cadmium and chromium and these products do not possess a mechanism to monitor and regulate them in low-income countries. Additional evidence of the tendencies described and the diligence of quality control requirements in cosmetics can also be confirmed by the results of (Morshed, 2017), which also showed high lead and chromium concentrations in face wash products in Bangladesh, especially in the herbal type of these products. Their repetitive identification in various studies and products contributes strongly to the necessity of </w:t>
      </w:r>
      <w:r w:rsidR="005E188D">
        <w:rPr>
          <w:rFonts w:ascii="Times New Roman" w:hAnsi="Times New Roman" w:cs="Times New Roman"/>
          <w:sz w:val="24"/>
          <w:szCs w:val="24"/>
        </w:rPr>
        <w:t>stricter</w:t>
      </w:r>
      <w:r>
        <w:rPr>
          <w:rFonts w:ascii="Times New Roman" w:hAnsi="Times New Roman" w:cs="Times New Roman"/>
          <w:sz w:val="24"/>
          <w:szCs w:val="24"/>
        </w:rPr>
        <w:t xml:space="preserve"> control and constant surveillance to protect the buyers (Massadeh et al., 2017; Nasirudeen &amp; Amaechi et al., 2015; Ruiz et al., 2019; Saadatzadeh et al., 2019).</w:t>
      </w:r>
    </w:p>
    <w:p w:rsidR="003451D7" w:rsidRDefault="003451D7">
      <w:pPr>
        <w:rPr>
          <w:rFonts w:ascii="Times New Roman" w:hAnsi="Times New Roman" w:cs="Times New Roman"/>
          <w:sz w:val="24"/>
          <w:szCs w:val="24"/>
        </w:rPr>
      </w:pPr>
    </w:p>
    <w:p w:rsidR="003451D7" w:rsidRDefault="00715CE0">
      <w:pPr>
        <w:pStyle w:val="Caption"/>
        <w:keepNext/>
        <w:jc w:val="center"/>
        <w:rPr>
          <w:rFonts w:ascii="Times New Roman" w:hAnsi="Times New Roman" w:cs="Times New Roman"/>
          <w:color w:val="auto"/>
          <w:sz w:val="22"/>
          <w:szCs w:val="22"/>
        </w:rPr>
      </w:pPr>
      <w:bookmarkStart w:id="195" w:name="_Toc204038318"/>
      <w:r>
        <w:rPr>
          <w:rFonts w:ascii="Times New Roman" w:hAnsi="Times New Roman" w:cs="Times New Roman"/>
          <w:b/>
          <w:bCs/>
          <w:color w:val="auto"/>
          <w:sz w:val="22"/>
          <w:szCs w:val="22"/>
        </w:rPr>
        <w:t xml:space="preserve">Table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Table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Heavy metal concentration results</w:t>
      </w:r>
      <w:bookmarkEnd w:id="195"/>
    </w:p>
    <w:tbl>
      <w:tblPr>
        <w:tblW w:w="5000" w:type="pct"/>
        <w:tblLook w:val="04A0" w:firstRow="1" w:lastRow="0" w:firstColumn="1" w:lastColumn="0" w:noHBand="0" w:noVBand="1"/>
      </w:tblPr>
      <w:tblGrid>
        <w:gridCol w:w="1133"/>
        <w:gridCol w:w="2127"/>
        <w:gridCol w:w="1281"/>
        <w:gridCol w:w="1207"/>
        <w:gridCol w:w="1232"/>
        <w:gridCol w:w="1207"/>
        <w:gridCol w:w="1173"/>
      </w:tblGrid>
      <w:tr w:rsidR="003451D7">
        <w:trPr>
          <w:trHeight w:val="312"/>
        </w:trPr>
        <w:tc>
          <w:tcPr>
            <w:tcW w:w="1743" w:type="pct"/>
            <w:gridSpan w:val="2"/>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Sr. No.</w:t>
            </w:r>
          </w:p>
        </w:tc>
        <w:tc>
          <w:tcPr>
            <w:tcW w:w="685" w:type="pct"/>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Cd(ppm)</w:t>
            </w:r>
          </w:p>
        </w:tc>
        <w:tc>
          <w:tcPr>
            <w:tcW w:w="645" w:type="pct"/>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Cr(ppm)</w:t>
            </w:r>
          </w:p>
        </w:tc>
        <w:tc>
          <w:tcPr>
            <w:tcW w:w="658" w:type="pct"/>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Cu(ppm)</w:t>
            </w:r>
          </w:p>
        </w:tc>
        <w:tc>
          <w:tcPr>
            <w:tcW w:w="645" w:type="pct"/>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Pb(ppm)</w:t>
            </w:r>
          </w:p>
        </w:tc>
        <w:tc>
          <w:tcPr>
            <w:tcW w:w="625" w:type="pct"/>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Ni(ppm)</w:t>
            </w:r>
          </w:p>
        </w:tc>
      </w:tr>
      <w:tr w:rsidR="003451D7">
        <w:trPr>
          <w:trHeight w:val="288"/>
        </w:trPr>
        <w:tc>
          <w:tcPr>
            <w:tcW w:w="1743" w:type="pct"/>
            <w:gridSpan w:val="2"/>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EU</w:t>
            </w:r>
          </w:p>
        </w:tc>
        <w:tc>
          <w:tcPr>
            <w:tcW w:w="685" w:type="pct"/>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0.5</w:t>
            </w:r>
          </w:p>
        </w:tc>
        <w:tc>
          <w:tcPr>
            <w:tcW w:w="645"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658" w:type="pct"/>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645" w:type="pct"/>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0.5</w:t>
            </w:r>
          </w:p>
        </w:tc>
        <w:tc>
          <w:tcPr>
            <w:tcW w:w="625" w:type="pct"/>
            <w:tcBorders>
              <w:top w:val="single" w:sz="4" w:space="0" w:color="auto"/>
            </w:tcBorders>
            <w:vAlign w:val="center"/>
          </w:tcPr>
          <w:p w:rsidR="003451D7" w:rsidRDefault="00715CE0">
            <w:pPr>
              <w:rPr>
                <w:rFonts w:asciiTheme="majorBidi" w:hAnsiTheme="majorBidi" w:cstheme="majorBidi"/>
              </w:rPr>
            </w:pPr>
            <w:r>
              <w:rPr>
                <w:rFonts w:asciiTheme="majorBidi" w:hAnsiTheme="majorBidi" w:cstheme="majorBidi"/>
              </w:rPr>
              <w:t xml:space="preserve">      10</w:t>
            </w:r>
          </w:p>
        </w:tc>
      </w:tr>
      <w:tr w:rsidR="003451D7">
        <w:trPr>
          <w:trHeight w:val="288"/>
        </w:trPr>
        <w:tc>
          <w:tcPr>
            <w:tcW w:w="1743" w:type="pct"/>
            <w:gridSpan w:val="2"/>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WHO</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0.3</w:t>
            </w:r>
          </w:p>
        </w:tc>
        <w:tc>
          <w:tcPr>
            <w:tcW w:w="645" w:type="pct"/>
            <w:noWrap/>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1743" w:type="pct"/>
            <w:gridSpan w:val="2"/>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USFDA</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645"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r>
      <w:tr w:rsidR="003451D7">
        <w:trPr>
          <w:trHeight w:val="288"/>
        </w:trPr>
        <w:tc>
          <w:tcPr>
            <w:tcW w:w="606" w:type="pct"/>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1</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0.66</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0.47</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0.22</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0.95</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0.047140</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0.032998</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0.018856</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0.047140</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606"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2</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0.13</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0.73</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0.46</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0.004714</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0.005428</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0.047140</w:t>
            </w:r>
          </w:p>
        </w:tc>
      </w:tr>
      <w:tr w:rsidR="003451D7">
        <w:trPr>
          <w:trHeight w:val="54"/>
        </w:trPr>
        <w:tc>
          <w:tcPr>
            <w:tcW w:w="606"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3</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0.93</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0.05</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1.26</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0.2</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jc w:val="center"/>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0.047140</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0.004714</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0.028674</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0.032998</w:t>
            </w:r>
          </w:p>
        </w:tc>
      </w:tr>
      <w:tr w:rsidR="003451D7">
        <w:trPr>
          <w:trHeight w:val="288"/>
        </w:trPr>
        <w:tc>
          <w:tcPr>
            <w:tcW w:w="606"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4</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0.04</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0.66</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0.23</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0.02</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0.028284</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0.017140</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0.047140</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0.004156</w:t>
            </w:r>
          </w:p>
        </w:tc>
      </w:tr>
      <w:tr w:rsidR="003451D7">
        <w:trPr>
          <w:trHeight w:val="288"/>
        </w:trPr>
        <w:tc>
          <w:tcPr>
            <w:tcW w:w="606"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5</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0.03</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0.72</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0.002160</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0.016330</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606"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6</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0.63</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0.26</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0.94</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0.047140</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0.009188</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0.041899</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606"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7</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1.13</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0sss</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0.015480</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0.023570</w:t>
            </w:r>
          </w:p>
        </w:tc>
      </w:tr>
      <w:tr w:rsidR="003451D7">
        <w:trPr>
          <w:trHeight w:val="288"/>
        </w:trPr>
        <w:tc>
          <w:tcPr>
            <w:tcW w:w="606" w:type="pct"/>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8</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0.33</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0.09</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0.14</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0.07</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jc w:val="center"/>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0.027140</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0.004714</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0.008987</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0.004714</w:t>
            </w:r>
          </w:p>
        </w:tc>
      </w:tr>
      <w:tr w:rsidR="003451D7">
        <w:trPr>
          <w:trHeight w:val="288"/>
        </w:trPr>
        <w:tc>
          <w:tcPr>
            <w:tcW w:w="606"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9</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0.24</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0.18</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0.05</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0.041899</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0.016330</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0.004190</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606" w:type="pct"/>
            <w:vMerge w:val="restart"/>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10</w:t>
            </w:r>
          </w:p>
        </w:tc>
        <w:tc>
          <w:tcPr>
            <w:tcW w:w="1136"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68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1.06</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0.93</w:t>
            </w:r>
          </w:p>
        </w:tc>
        <w:tc>
          <w:tcPr>
            <w:tcW w:w="658"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0.64</w:t>
            </w:r>
          </w:p>
        </w:tc>
        <w:tc>
          <w:tcPr>
            <w:tcW w:w="625" w:type="pct"/>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0.08</w:t>
            </w:r>
          </w:p>
        </w:tc>
      </w:tr>
      <w:tr w:rsidR="003451D7">
        <w:trPr>
          <w:trHeight w:val="288"/>
        </w:trPr>
        <w:tc>
          <w:tcPr>
            <w:tcW w:w="606"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1136"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68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0.024722</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0.047140</w:t>
            </w:r>
          </w:p>
        </w:tc>
        <w:tc>
          <w:tcPr>
            <w:tcW w:w="658"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64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0.043205</w:t>
            </w:r>
          </w:p>
        </w:tc>
        <w:tc>
          <w:tcPr>
            <w:tcW w:w="625" w:type="pct"/>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0.006878</w:t>
            </w:r>
          </w:p>
        </w:tc>
      </w:tr>
    </w:tbl>
    <w:p w:rsidR="003451D7" w:rsidRDefault="003451D7">
      <w:pPr>
        <w:spacing w:before="240" w:line="360" w:lineRule="auto"/>
        <w:rPr>
          <w:rFonts w:ascii="Times New Roman" w:hAnsi="Times New Roman" w:cs="Times New Roman"/>
          <w:sz w:val="24"/>
          <w:szCs w:val="24"/>
        </w:rPr>
      </w:pPr>
    </w:p>
    <w:p w:rsidR="003451D7" w:rsidRDefault="00715CE0">
      <w:pPr>
        <w:pStyle w:val="Heading2"/>
        <w:rPr>
          <w:rFonts w:cs="Times New Roman"/>
        </w:rPr>
      </w:pPr>
      <w:bookmarkStart w:id="196" w:name="_Toc202982422"/>
      <w:bookmarkStart w:id="197" w:name="_Toc202990491"/>
      <w:bookmarkStart w:id="198" w:name="_Toc208820427"/>
      <w:r>
        <w:rPr>
          <w:rFonts w:cs="Times New Roman"/>
        </w:rPr>
        <w:lastRenderedPageBreak/>
        <w:t>Human Health Risk Assessment:</w:t>
      </w:r>
      <w:bookmarkEnd w:id="196"/>
      <w:bookmarkEnd w:id="197"/>
      <w:bookmarkEnd w:id="198"/>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This section directly points at the second research objective: What are the possible health risks of using face washes with these substances? The human health risk assessment was attained by computing the Chronic Daily Intake (CDI) and Hazard Quotient (HQ) of each determined heavy metal, with a quantitative assessment of the possible non-carcinogenic health risk.</w:t>
      </w:r>
    </w:p>
    <w:p w:rsidR="003451D7" w:rsidRDefault="003451D7">
      <w:pPr>
        <w:spacing w:before="240" w:line="360" w:lineRule="auto"/>
        <w:rPr>
          <w:rFonts w:ascii="Times New Roman" w:hAnsi="Times New Roman" w:cs="Times New Roman"/>
          <w:sz w:val="24"/>
          <w:szCs w:val="24"/>
        </w:rPr>
      </w:pPr>
    </w:p>
    <w:p w:rsidR="003451D7" w:rsidRDefault="00715CE0">
      <w:pPr>
        <w:pStyle w:val="Heading3"/>
        <w:rPr>
          <w:rFonts w:cs="Times New Roman"/>
        </w:rPr>
      </w:pPr>
      <w:bookmarkStart w:id="199" w:name="_Toc202990492"/>
      <w:bookmarkStart w:id="200" w:name="_Toc208820428"/>
      <w:bookmarkStart w:id="201" w:name="_Toc202982423"/>
      <w:r>
        <w:rPr>
          <w:rFonts w:cs="Times New Roman"/>
        </w:rPr>
        <w:t>Chronic Daily Intake (CDI):</w:t>
      </w:r>
      <w:bookmarkEnd w:id="199"/>
      <w:bookmarkEnd w:id="200"/>
      <w:bookmarkEnd w:id="201"/>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Chronic Daily Intake (CDI) is an amount of exposure to a substance on a daily basis and over a long run. For this study, CDI values were estimated for several heavy metals found in facewash samples, specifically Cadmium (Cd), Chromium (Cr), Nickel (Ni), Lead (Pb), and Copper (Cu). These estimations are based on measured concentrations within the samples and typical usage patterns.</w:t>
      </w:r>
    </w:p>
    <w:p w:rsidR="003451D7" w:rsidRDefault="003451D7">
      <w:pPr>
        <w:spacing w:before="240" w:line="360" w:lineRule="auto"/>
        <w:jc w:val="both"/>
        <w:rPr>
          <w:rFonts w:ascii="Times New Roman" w:hAnsi="Times New Roman" w:cs="Times New Roman"/>
          <w:sz w:val="24"/>
          <w:szCs w:val="24"/>
        </w:rPr>
      </w:pP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calculated CDI values, presented in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_Ref202980729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DE5BAE" w:rsidRPr="00DE5BAE">
        <w:rPr>
          <w:rFonts w:ascii="Times New Roman" w:hAnsi="Times New Roman" w:cs="Times New Roman"/>
          <w:b/>
          <w:bCs/>
          <w:sz w:val="24"/>
          <w:szCs w:val="24"/>
        </w:rPr>
        <w:t>Table 4.5</w:t>
      </w:r>
      <w:r>
        <w:rPr>
          <w:rFonts w:ascii="Times New Roman" w:hAnsi="Times New Roman" w:cs="Times New Roman"/>
          <w:sz w:val="24"/>
          <w:szCs w:val="24"/>
        </w:rPr>
        <w:fldChar w:fldCharType="end"/>
      </w:r>
      <w:r>
        <w:rPr>
          <w:rFonts w:ascii="Times New Roman" w:hAnsi="Times New Roman" w:cs="Times New Roman"/>
          <w:sz w:val="24"/>
          <w:szCs w:val="24"/>
        </w:rPr>
        <w:t>, represent the estimated daily dermal exposure to these metals. The ranges are as follows:</w:t>
      </w:r>
    </w:p>
    <w:p w:rsidR="003451D7" w:rsidRDefault="00715CE0">
      <w:pPr>
        <w:pStyle w:val="ListParagraph"/>
        <w:numPr>
          <w:ilvl w:val="0"/>
          <w:numId w:val="5"/>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Cadmium (Cd): 0 to 7.24×10</w:t>
      </w:r>
      <w:r>
        <w:rPr>
          <w:rFonts w:ascii="Times New Roman" w:hAnsi="Times New Roman" w:cs="Times New Roman"/>
          <w:sz w:val="24"/>
          <w:szCs w:val="24"/>
          <w:vertAlign w:val="superscript"/>
        </w:rPr>
        <w:t>−1</w:t>
      </w:r>
    </w:p>
    <w:p w:rsidR="003451D7" w:rsidRDefault="00715CE0">
      <w:pPr>
        <w:pStyle w:val="ListParagraph"/>
        <w:numPr>
          <w:ilvl w:val="0"/>
          <w:numId w:val="5"/>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Chromium (Cr): 0 to 6.35×10</w:t>
      </w:r>
      <w:r>
        <w:rPr>
          <w:rFonts w:ascii="Times New Roman" w:hAnsi="Times New Roman" w:cs="Times New Roman"/>
          <w:sz w:val="24"/>
          <w:szCs w:val="24"/>
          <w:vertAlign w:val="superscript"/>
        </w:rPr>
        <w:t>−1</w:t>
      </w:r>
    </w:p>
    <w:p w:rsidR="003451D7" w:rsidRDefault="00715CE0">
      <w:pPr>
        <w:pStyle w:val="ListParagraph"/>
        <w:numPr>
          <w:ilvl w:val="0"/>
          <w:numId w:val="5"/>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Nickel (Ni): 0 to 4.64×10</w:t>
      </w:r>
      <w:r>
        <w:rPr>
          <w:rFonts w:ascii="Times New Roman" w:hAnsi="Times New Roman" w:cs="Times New Roman"/>
          <w:sz w:val="24"/>
          <w:szCs w:val="24"/>
          <w:vertAlign w:val="superscript"/>
        </w:rPr>
        <w:t>−1</w:t>
      </w:r>
    </w:p>
    <w:p w:rsidR="003451D7" w:rsidRDefault="00715CE0">
      <w:pPr>
        <w:pStyle w:val="ListParagraph"/>
        <w:numPr>
          <w:ilvl w:val="0"/>
          <w:numId w:val="5"/>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Lead (Pb): 0 to 8.61×10</w:t>
      </w:r>
      <w:r>
        <w:rPr>
          <w:rFonts w:ascii="Times New Roman" w:hAnsi="Times New Roman" w:cs="Times New Roman"/>
          <w:sz w:val="24"/>
          <w:szCs w:val="24"/>
          <w:vertAlign w:val="superscript"/>
        </w:rPr>
        <w:t>−1</w:t>
      </w:r>
    </w:p>
    <w:p w:rsidR="003451D7" w:rsidRDefault="00715CE0">
      <w:pPr>
        <w:pStyle w:val="ListParagraph"/>
        <w:numPr>
          <w:ilvl w:val="0"/>
          <w:numId w:val="5"/>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Copper (Cu): 0 to 4.51×10</w:t>
      </w:r>
      <w:r>
        <w:rPr>
          <w:rFonts w:ascii="Times New Roman" w:hAnsi="Times New Roman" w:cs="Times New Roman"/>
          <w:sz w:val="24"/>
          <w:szCs w:val="24"/>
          <w:vertAlign w:val="superscript"/>
        </w:rPr>
        <w:t>−1</w:t>
      </w: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These CDI values were determined using reasonable assumptions regarding the frequency and amount of facewash application.</w:t>
      </w:r>
    </w:p>
    <w:p w:rsidR="003451D7" w:rsidRDefault="003451D7">
      <w:pPr>
        <w:spacing w:before="240" w:line="360" w:lineRule="auto"/>
        <w:rPr>
          <w:rFonts w:ascii="Times New Roman" w:hAnsi="Times New Roman" w:cs="Times New Roman"/>
          <w:sz w:val="24"/>
          <w:szCs w:val="24"/>
        </w:rPr>
      </w:pPr>
    </w:p>
    <w:p w:rsidR="003451D7" w:rsidRDefault="00715CE0">
      <w:pPr>
        <w:pStyle w:val="Heading3"/>
        <w:rPr>
          <w:rFonts w:cs="Times New Roman"/>
        </w:rPr>
      </w:pPr>
      <w:bookmarkStart w:id="202" w:name="_Toc202982424"/>
      <w:bookmarkStart w:id="203" w:name="_Toc202990493"/>
      <w:bookmarkStart w:id="204" w:name="_Toc208820429"/>
      <w:r>
        <w:rPr>
          <w:rFonts w:cs="Times New Roman"/>
        </w:rPr>
        <w:t>Hazard Quotient (HQ)</w:t>
      </w:r>
      <w:bookmarkEnd w:id="202"/>
      <w:bookmarkEnd w:id="203"/>
      <w:bookmarkEnd w:id="204"/>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Hazard Quotient (HQ) is very important indicator of the possible non-carcinogenic health risks which is calculated by dividing the estimated value of exposure (Chronic Daily Intake, CDI) to a reference dose (RfD) substance or chemical compound-specific. An HQ greater than 1 is usually </w:t>
      </w:r>
      <w:r>
        <w:rPr>
          <w:rFonts w:ascii="Times New Roman" w:hAnsi="Times New Roman" w:cs="Times New Roman"/>
          <w:sz w:val="24"/>
          <w:szCs w:val="24"/>
        </w:rPr>
        <w:lastRenderedPageBreak/>
        <w:t>an indication of the scope of negative health impact and an HQ less than 1 is used when there is no possibility of negative health results due to the daily exposure.</w:t>
      </w:r>
    </w:p>
    <w:p w:rsidR="003451D7" w:rsidRDefault="003451D7">
      <w:pPr>
        <w:spacing w:before="240" w:line="360" w:lineRule="auto"/>
        <w:jc w:val="both"/>
        <w:rPr>
          <w:rFonts w:ascii="Times New Roman" w:hAnsi="Times New Roman" w:cs="Times New Roman"/>
          <w:sz w:val="24"/>
          <w:szCs w:val="24"/>
        </w:rPr>
      </w:pP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HQ values for Cadmium (Cd), Chromium (Cr), Nickel (Ni), Lead (Pb), and Copper (Cu) are presented in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_Ref202980729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DE5BAE" w:rsidRPr="00DE5BAE">
        <w:rPr>
          <w:rFonts w:ascii="Times New Roman" w:hAnsi="Times New Roman" w:cs="Times New Roman"/>
          <w:b/>
          <w:bCs/>
          <w:sz w:val="24"/>
          <w:szCs w:val="24"/>
        </w:rPr>
        <w:t>Table 4.5</w:t>
      </w:r>
      <w:r>
        <w:rPr>
          <w:rFonts w:ascii="Times New Roman" w:hAnsi="Times New Roman" w:cs="Times New Roman"/>
          <w:sz w:val="24"/>
          <w:szCs w:val="24"/>
        </w:rPr>
        <w:fldChar w:fldCharType="end"/>
      </w:r>
      <w:r>
        <w:rPr>
          <w:rFonts w:ascii="Times New Roman" w:hAnsi="Times New Roman" w:cs="Times New Roman"/>
          <w:sz w:val="24"/>
          <w:szCs w:val="24"/>
        </w:rPr>
        <w:t>, quantitatively assessing the health risks in line with the second research objective. The calculated HQ ranges for these heavy metals are as follows:</w:t>
      </w:r>
    </w:p>
    <w:p w:rsidR="003451D7" w:rsidRDefault="00715CE0">
      <w:pPr>
        <w:pStyle w:val="ListParagraph"/>
        <w:numPr>
          <w:ilvl w:val="0"/>
          <w:numId w:val="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Cadmium (Cd): 0 to 7.24×10</w:t>
      </w:r>
      <w:r>
        <w:rPr>
          <w:rFonts w:ascii="Times New Roman" w:hAnsi="Times New Roman" w:cs="Times New Roman"/>
          <w:sz w:val="24"/>
          <w:szCs w:val="24"/>
          <w:vertAlign w:val="superscript"/>
        </w:rPr>
        <w:t>−2</w:t>
      </w:r>
    </w:p>
    <w:p w:rsidR="003451D7" w:rsidRDefault="00715CE0">
      <w:pPr>
        <w:pStyle w:val="ListParagraph"/>
        <w:numPr>
          <w:ilvl w:val="0"/>
          <w:numId w:val="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Chromium (Cr): 0 to 2.11×10</w:t>
      </w:r>
      <w:r>
        <w:rPr>
          <w:rFonts w:ascii="Times New Roman" w:hAnsi="Times New Roman" w:cs="Times New Roman"/>
          <w:sz w:val="24"/>
          <w:szCs w:val="24"/>
          <w:vertAlign w:val="superscript"/>
        </w:rPr>
        <w:t>−1</w:t>
      </w:r>
    </w:p>
    <w:p w:rsidR="003451D7" w:rsidRDefault="00715CE0">
      <w:pPr>
        <w:pStyle w:val="ListParagraph"/>
        <w:numPr>
          <w:ilvl w:val="0"/>
          <w:numId w:val="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Nickel (Ni): 0 to 2.32×10</w:t>
      </w:r>
      <w:r>
        <w:rPr>
          <w:rFonts w:ascii="Times New Roman" w:hAnsi="Times New Roman" w:cs="Times New Roman"/>
          <w:sz w:val="24"/>
          <w:szCs w:val="24"/>
          <w:vertAlign w:val="superscript"/>
        </w:rPr>
        <w:t>−2</w:t>
      </w:r>
    </w:p>
    <w:p w:rsidR="003451D7" w:rsidRDefault="00715CE0">
      <w:pPr>
        <w:pStyle w:val="ListParagraph"/>
        <w:numPr>
          <w:ilvl w:val="0"/>
          <w:numId w:val="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Lead (Pb): 0 to 2.87×10</w:t>
      </w:r>
      <w:r>
        <w:rPr>
          <w:rFonts w:ascii="Times New Roman" w:hAnsi="Times New Roman" w:cs="Times New Roman"/>
          <w:sz w:val="24"/>
          <w:szCs w:val="24"/>
          <w:vertAlign w:val="superscript"/>
        </w:rPr>
        <w:t>−1</w:t>
      </w:r>
    </w:p>
    <w:p w:rsidR="003451D7" w:rsidRDefault="00715CE0">
      <w:pPr>
        <w:pStyle w:val="ListParagraph"/>
        <w:numPr>
          <w:ilvl w:val="0"/>
          <w:numId w:val="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Copper (Cu): 0 to 2.25×10</w:t>
      </w:r>
      <w:r>
        <w:rPr>
          <w:rFonts w:ascii="Times New Roman" w:hAnsi="Times New Roman" w:cs="Times New Roman"/>
          <w:sz w:val="24"/>
          <w:szCs w:val="24"/>
          <w:vertAlign w:val="superscript"/>
        </w:rPr>
        <w:t>−2</w:t>
      </w: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While these calculated HQ values are consistently less than 1, suggesting that the non-carcinogenic risk from individual heavy metals in the analyzed samples is likely acceptable under the assumed exposure scenarios, it is imperative to acknowledge the potential for cumulative effects from exposure to multiple metals and from other environmental sources.</w:t>
      </w:r>
    </w:p>
    <w:p w:rsidR="003451D7" w:rsidRDefault="003451D7">
      <w:pPr>
        <w:spacing w:before="240" w:line="360" w:lineRule="auto"/>
        <w:rPr>
          <w:rFonts w:ascii="Times New Roman" w:hAnsi="Times New Roman" w:cs="Times New Roman"/>
          <w:sz w:val="24"/>
          <w:szCs w:val="24"/>
        </w:rPr>
      </w:pPr>
    </w:p>
    <w:p w:rsidR="003451D7" w:rsidRDefault="003451D7">
      <w:pPr>
        <w:spacing w:before="240" w:line="360" w:lineRule="auto"/>
        <w:rPr>
          <w:rFonts w:ascii="Times New Roman" w:hAnsi="Times New Roman" w:cs="Times New Roman"/>
          <w:sz w:val="24"/>
          <w:szCs w:val="24"/>
        </w:rPr>
        <w:sectPr w:rsidR="003451D7">
          <w:footerReference w:type="default" r:id="rId71"/>
          <w:footerReference w:type="first" r:id="rId72"/>
          <w:pgSz w:w="12240" w:h="15840"/>
          <w:pgMar w:top="1440" w:right="1440" w:bottom="1440" w:left="1440" w:header="708" w:footer="708" w:gutter="0"/>
          <w:pgNumType w:start="1"/>
          <w:cols w:space="708"/>
          <w:titlePg/>
          <w:docGrid w:linePitch="360"/>
        </w:sectPr>
      </w:pPr>
    </w:p>
    <w:p w:rsidR="003451D7" w:rsidRPr="00B6281E" w:rsidRDefault="00715CE0">
      <w:pPr>
        <w:pStyle w:val="Caption"/>
        <w:keepNext/>
        <w:spacing w:before="240" w:after="160" w:line="360" w:lineRule="auto"/>
        <w:jc w:val="center"/>
        <w:rPr>
          <w:rFonts w:ascii="Times New Roman" w:hAnsi="Times New Roman" w:cs="Times New Roman"/>
          <w:iCs w:val="0"/>
          <w:color w:val="auto"/>
          <w:sz w:val="22"/>
          <w:szCs w:val="22"/>
        </w:rPr>
      </w:pPr>
      <w:bookmarkStart w:id="205" w:name="_Ref202980729"/>
      <w:bookmarkStart w:id="206" w:name="_Toc202990511"/>
      <w:bookmarkStart w:id="207" w:name="_Toc202982180"/>
      <w:bookmarkStart w:id="208" w:name="_Toc204038319"/>
      <w:r w:rsidRPr="00B6281E">
        <w:rPr>
          <w:rFonts w:ascii="Times New Roman" w:hAnsi="Times New Roman" w:cs="Times New Roman"/>
          <w:b/>
          <w:bCs/>
          <w:iCs w:val="0"/>
          <w:color w:val="auto"/>
          <w:sz w:val="22"/>
          <w:szCs w:val="22"/>
        </w:rPr>
        <w:lastRenderedPageBreak/>
        <w:t xml:space="preserve">Table </w:t>
      </w:r>
      <w:r w:rsidRPr="00B6281E">
        <w:rPr>
          <w:rFonts w:ascii="Times New Roman" w:hAnsi="Times New Roman" w:cs="Times New Roman"/>
          <w:b/>
          <w:bCs/>
          <w:iCs w:val="0"/>
          <w:color w:val="auto"/>
          <w:sz w:val="22"/>
          <w:szCs w:val="22"/>
        </w:rPr>
        <w:fldChar w:fldCharType="begin"/>
      </w:r>
      <w:r w:rsidRPr="00B6281E">
        <w:rPr>
          <w:rFonts w:ascii="Times New Roman" w:hAnsi="Times New Roman" w:cs="Times New Roman"/>
          <w:b/>
          <w:bCs/>
          <w:iCs w:val="0"/>
          <w:color w:val="auto"/>
          <w:sz w:val="22"/>
          <w:szCs w:val="22"/>
        </w:rPr>
        <w:instrText xml:space="preserve"> STYLEREF 1 \s </w:instrText>
      </w:r>
      <w:r w:rsidRPr="00B6281E">
        <w:rPr>
          <w:rFonts w:ascii="Times New Roman" w:hAnsi="Times New Roman" w:cs="Times New Roman"/>
          <w:b/>
          <w:bCs/>
          <w:iCs w:val="0"/>
          <w:color w:val="auto"/>
          <w:sz w:val="22"/>
          <w:szCs w:val="22"/>
        </w:rPr>
        <w:fldChar w:fldCharType="separate"/>
      </w:r>
      <w:r w:rsidR="00DE5BAE">
        <w:rPr>
          <w:rFonts w:ascii="Times New Roman" w:hAnsi="Times New Roman" w:cs="Times New Roman"/>
          <w:b/>
          <w:bCs/>
          <w:iCs w:val="0"/>
          <w:noProof/>
          <w:color w:val="auto"/>
          <w:sz w:val="22"/>
          <w:szCs w:val="22"/>
        </w:rPr>
        <w:t>4</w:t>
      </w:r>
      <w:r w:rsidRPr="00B6281E">
        <w:rPr>
          <w:rFonts w:ascii="Times New Roman" w:hAnsi="Times New Roman" w:cs="Times New Roman"/>
          <w:b/>
          <w:bCs/>
          <w:iCs w:val="0"/>
          <w:color w:val="auto"/>
          <w:sz w:val="22"/>
          <w:szCs w:val="22"/>
        </w:rPr>
        <w:fldChar w:fldCharType="end"/>
      </w:r>
      <w:r w:rsidRPr="00B6281E">
        <w:rPr>
          <w:rFonts w:ascii="Times New Roman" w:hAnsi="Times New Roman" w:cs="Times New Roman"/>
          <w:b/>
          <w:bCs/>
          <w:iCs w:val="0"/>
          <w:color w:val="auto"/>
          <w:sz w:val="22"/>
          <w:szCs w:val="22"/>
        </w:rPr>
        <w:t>.</w:t>
      </w:r>
      <w:r w:rsidRPr="00B6281E">
        <w:rPr>
          <w:rFonts w:ascii="Times New Roman" w:hAnsi="Times New Roman" w:cs="Times New Roman"/>
          <w:b/>
          <w:bCs/>
          <w:iCs w:val="0"/>
          <w:color w:val="auto"/>
          <w:sz w:val="22"/>
          <w:szCs w:val="22"/>
        </w:rPr>
        <w:fldChar w:fldCharType="begin"/>
      </w:r>
      <w:r w:rsidRPr="00B6281E">
        <w:rPr>
          <w:rFonts w:ascii="Times New Roman" w:hAnsi="Times New Roman" w:cs="Times New Roman"/>
          <w:b/>
          <w:bCs/>
          <w:iCs w:val="0"/>
          <w:color w:val="auto"/>
          <w:sz w:val="22"/>
          <w:szCs w:val="22"/>
        </w:rPr>
        <w:instrText xml:space="preserve"> SEQ Table \* ARABIC \s 1 </w:instrText>
      </w:r>
      <w:r w:rsidRPr="00B6281E">
        <w:rPr>
          <w:rFonts w:ascii="Times New Roman" w:hAnsi="Times New Roman" w:cs="Times New Roman"/>
          <w:b/>
          <w:bCs/>
          <w:iCs w:val="0"/>
          <w:color w:val="auto"/>
          <w:sz w:val="22"/>
          <w:szCs w:val="22"/>
        </w:rPr>
        <w:fldChar w:fldCharType="separate"/>
      </w:r>
      <w:r w:rsidR="00DE5BAE">
        <w:rPr>
          <w:rFonts w:ascii="Times New Roman" w:hAnsi="Times New Roman" w:cs="Times New Roman"/>
          <w:b/>
          <w:bCs/>
          <w:iCs w:val="0"/>
          <w:noProof/>
          <w:color w:val="auto"/>
          <w:sz w:val="22"/>
          <w:szCs w:val="22"/>
        </w:rPr>
        <w:t>5</w:t>
      </w:r>
      <w:r w:rsidRPr="00B6281E">
        <w:rPr>
          <w:rFonts w:ascii="Times New Roman" w:hAnsi="Times New Roman" w:cs="Times New Roman"/>
          <w:b/>
          <w:bCs/>
          <w:iCs w:val="0"/>
          <w:color w:val="auto"/>
          <w:sz w:val="22"/>
          <w:szCs w:val="22"/>
        </w:rPr>
        <w:fldChar w:fldCharType="end"/>
      </w:r>
      <w:bookmarkEnd w:id="205"/>
      <w:r w:rsidRPr="00B6281E">
        <w:rPr>
          <w:rFonts w:ascii="Times New Roman" w:hAnsi="Times New Roman" w:cs="Times New Roman"/>
          <w:b/>
          <w:bCs/>
          <w:iCs w:val="0"/>
          <w:color w:val="auto"/>
          <w:sz w:val="22"/>
          <w:szCs w:val="22"/>
        </w:rPr>
        <w:t xml:space="preserve"> </w:t>
      </w:r>
      <w:r w:rsidRPr="00CE55F6">
        <w:rPr>
          <w:rFonts w:ascii="Times New Roman" w:hAnsi="Times New Roman" w:cs="Times New Roman"/>
          <w:iCs w:val="0"/>
          <w:color w:val="auto"/>
          <w:sz w:val="22"/>
          <w:szCs w:val="22"/>
        </w:rPr>
        <w:t>Chron</w:t>
      </w:r>
      <w:r w:rsidR="00DB38D5" w:rsidRPr="00CE55F6">
        <w:rPr>
          <w:rFonts w:ascii="Times New Roman" w:hAnsi="Times New Roman" w:cs="Times New Roman"/>
          <w:iCs w:val="0"/>
          <w:color w:val="auto"/>
          <w:sz w:val="22"/>
          <w:szCs w:val="22"/>
        </w:rPr>
        <w:t>ic Daily Intake (CDI) and Hazard</w:t>
      </w:r>
      <w:r w:rsidRPr="00CE55F6">
        <w:rPr>
          <w:rFonts w:ascii="Times New Roman" w:hAnsi="Times New Roman" w:cs="Times New Roman"/>
          <w:iCs w:val="0"/>
          <w:color w:val="auto"/>
          <w:sz w:val="22"/>
          <w:szCs w:val="22"/>
        </w:rPr>
        <w:t xml:space="preserve"> Quotient (HQ)</w:t>
      </w:r>
      <w:bookmarkEnd w:id="206"/>
      <w:bookmarkEnd w:id="207"/>
      <w:bookmarkEnd w:id="208"/>
    </w:p>
    <w:tbl>
      <w:tblPr>
        <w:tblW w:w="5000" w:type="pct"/>
        <w:tblLook w:val="04A0" w:firstRow="1" w:lastRow="0" w:firstColumn="1" w:lastColumn="0" w:noHBand="0" w:noVBand="1"/>
      </w:tblPr>
      <w:tblGrid>
        <w:gridCol w:w="1130"/>
        <w:gridCol w:w="1300"/>
        <w:gridCol w:w="1351"/>
        <w:gridCol w:w="1212"/>
        <w:gridCol w:w="1561"/>
        <w:gridCol w:w="1212"/>
        <w:gridCol w:w="1437"/>
        <w:gridCol w:w="1212"/>
        <w:gridCol w:w="1212"/>
        <w:gridCol w:w="1561"/>
        <w:gridCol w:w="1212"/>
      </w:tblGrid>
      <w:tr w:rsidR="003451D7">
        <w:trPr>
          <w:trHeight w:val="312"/>
        </w:trPr>
        <w:tc>
          <w:tcPr>
            <w:tcW w:w="392" w:type="pct"/>
            <w:vMerge w:val="restar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Sample</w:t>
            </w:r>
          </w:p>
        </w:tc>
        <w:tc>
          <w:tcPr>
            <w:tcW w:w="2304" w:type="pct"/>
            <w:gridSpan w:val="5"/>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CDI</w:t>
            </w:r>
          </w:p>
        </w:tc>
        <w:tc>
          <w:tcPr>
            <w:tcW w:w="2303" w:type="pct"/>
            <w:gridSpan w:val="5"/>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HQ Values</w:t>
            </w:r>
          </w:p>
        </w:tc>
      </w:tr>
      <w:tr w:rsidR="003451D7">
        <w:trPr>
          <w:trHeight w:val="312"/>
        </w:trPr>
        <w:tc>
          <w:tcPr>
            <w:tcW w:w="392" w:type="pct"/>
            <w:vMerge/>
            <w:vAlign w:val="center"/>
          </w:tcPr>
          <w:p w:rsidR="003451D7" w:rsidRDefault="003451D7">
            <w:pPr>
              <w:spacing w:after="0" w:line="240" w:lineRule="auto"/>
              <w:rPr>
                <w:rFonts w:ascii="Times New Roman" w:eastAsia="Times New Roman" w:hAnsi="Times New Roman" w:cs="Times New Roman"/>
                <w:b/>
                <w:bCs/>
                <w:color w:val="000000"/>
                <w:sz w:val="24"/>
                <w:szCs w:val="24"/>
              </w:rPr>
            </w:pPr>
          </w:p>
        </w:tc>
        <w:tc>
          <w:tcPr>
            <w:tcW w:w="1341" w:type="pct"/>
            <w:gridSpan w:val="3"/>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Carcinogenic</w:t>
            </w:r>
          </w:p>
        </w:tc>
        <w:tc>
          <w:tcPr>
            <w:tcW w:w="963" w:type="pct"/>
            <w:gridSpan w:val="2"/>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Non-carcinogenic</w:t>
            </w:r>
          </w:p>
        </w:tc>
        <w:tc>
          <w:tcPr>
            <w:tcW w:w="1341" w:type="pct"/>
            <w:gridSpan w:val="3"/>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Carcinogenic</w:t>
            </w:r>
          </w:p>
        </w:tc>
        <w:tc>
          <w:tcPr>
            <w:tcW w:w="963" w:type="pct"/>
            <w:gridSpan w:val="2"/>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Non-carcinogenic</w:t>
            </w:r>
          </w:p>
        </w:tc>
      </w:tr>
      <w:tr w:rsidR="003451D7">
        <w:trPr>
          <w:trHeight w:val="312"/>
        </w:trPr>
        <w:tc>
          <w:tcPr>
            <w:tcW w:w="392" w:type="pct"/>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sz w:val="24"/>
                <w:szCs w:val="24"/>
              </w:rPr>
            </w:pPr>
          </w:p>
        </w:tc>
        <w:tc>
          <w:tcPr>
            <w:tcW w:w="451"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Cadmium</w:t>
            </w:r>
          </w:p>
        </w:tc>
        <w:tc>
          <w:tcPr>
            <w:tcW w:w="469"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Lead</w:t>
            </w:r>
          </w:p>
        </w:tc>
        <w:tc>
          <w:tcPr>
            <w:tcW w:w="421"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Nickle</w:t>
            </w:r>
          </w:p>
        </w:tc>
        <w:tc>
          <w:tcPr>
            <w:tcW w:w="542"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Chromium</w:t>
            </w:r>
          </w:p>
        </w:tc>
        <w:tc>
          <w:tcPr>
            <w:tcW w:w="421"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Copper</w:t>
            </w:r>
          </w:p>
        </w:tc>
        <w:tc>
          <w:tcPr>
            <w:tcW w:w="499"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Cadmium</w:t>
            </w:r>
          </w:p>
        </w:tc>
        <w:tc>
          <w:tcPr>
            <w:tcW w:w="421"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Lead</w:t>
            </w:r>
          </w:p>
        </w:tc>
        <w:tc>
          <w:tcPr>
            <w:tcW w:w="421"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Nickle</w:t>
            </w:r>
          </w:p>
        </w:tc>
        <w:tc>
          <w:tcPr>
            <w:tcW w:w="542"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Chromium</w:t>
            </w:r>
          </w:p>
        </w:tc>
        <w:tc>
          <w:tcPr>
            <w:tcW w:w="421" w:type="pct"/>
            <w:tcBorders>
              <w:top w:val="single" w:sz="4" w:space="0" w:color="auto"/>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i/>
                <w:iCs/>
                <w:color w:val="000000"/>
                <w:sz w:val="24"/>
                <w:szCs w:val="24"/>
              </w:rPr>
              <w:t>Copper</w:t>
            </w:r>
          </w:p>
        </w:tc>
      </w:tr>
      <w:tr w:rsidR="003451D7">
        <w:trPr>
          <w:trHeight w:val="312"/>
        </w:trPr>
        <w:tc>
          <w:tcPr>
            <w:tcW w:w="392"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1</w:t>
            </w:r>
          </w:p>
        </w:tc>
        <w:tc>
          <w:tcPr>
            <w:tcW w:w="451"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4.51x10</w:t>
            </w:r>
            <w:r>
              <w:rPr>
                <w:rFonts w:ascii="Times New Roman" w:eastAsia="Times New Roman" w:hAnsi="Times New Roman" w:cs="Times New Roman"/>
                <w:color w:val="000000"/>
                <w:sz w:val="24"/>
                <w:szCs w:val="24"/>
                <w:vertAlign w:val="superscript"/>
              </w:rPr>
              <w:t>-1</w:t>
            </w:r>
          </w:p>
        </w:tc>
        <w:tc>
          <w:tcPr>
            <w:tcW w:w="469"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6.49x10</w:t>
            </w:r>
            <w:r>
              <w:rPr>
                <w:rFonts w:ascii="Times New Roman" w:eastAsia="Times New Roman" w:hAnsi="Times New Roman" w:cs="Times New Roman"/>
                <w:color w:val="000000"/>
                <w:sz w:val="24"/>
                <w:szCs w:val="24"/>
                <w:vertAlign w:val="superscript"/>
              </w:rPr>
              <w:t>-1</w:t>
            </w:r>
          </w:p>
        </w:tc>
        <w:tc>
          <w:tcPr>
            <w:tcW w:w="421"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542"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3.20x10</w:t>
            </w:r>
            <w:r>
              <w:rPr>
                <w:rFonts w:ascii="Times New Roman" w:eastAsia="Times New Roman" w:hAnsi="Times New Roman" w:cs="Times New Roman"/>
                <w:color w:val="000000"/>
                <w:sz w:val="24"/>
                <w:szCs w:val="24"/>
                <w:vertAlign w:val="superscript"/>
              </w:rPr>
              <w:t>-1</w:t>
            </w:r>
          </w:p>
        </w:tc>
        <w:tc>
          <w:tcPr>
            <w:tcW w:w="421"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1.50x10</w:t>
            </w:r>
            <w:r>
              <w:rPr>
                <w:rFonts w:ascii="Times New Roman" w:eastAsia="Times New Roman" w:hAnsi="Times New Roman" w:cs="Times New Roman"/>
                <w:color w:val="000000"/>
                <w:sz w:val="24"/>
                <w:szCs w:val="24"/>
                <w:vertAlign w:val="superscript"/>
              </w:rPr>
              <w:t>-1</w:t>
            </w:r>
          </w:p>
        </w:tc>
        <w:tc>
          <w:tcPr>
            <w:tcW w:w="499"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4.51x10</w:t>
            </w:r>
            <w:r>
              <w:rPr>
                <w:rFonts w:ascii="Times New Roman" w:eastAsia="Times New Roman" w:hAnsi="Times New Roman" w:cs="Times New Roman"/>
                <w:color w:val="000000"/>
                <w:sz w:val="24"/>
                <w:szCs w:val="24"/>
                <w:vertAlign w:val="superscript"/>
              </w:rPr>
              <w:t>-2</w:t>
            </w:r>
          </w:p>
        </w:tc>
        <w:tc>
          <w:tcPr>
            <w:tcW w:w="421"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2.16x10</w:t>
            </w:r>
            <w:r>
              <w:rPr>
                <w:rFonts w:ascii="Times New Roman" w:eastAsia="Times New Roman" w:hAnsi="Times New Roman" w:cs="Times New Roman"/>
                <w:color w:val="000000"/>
                <w:sz w:val="24"/>
                <w:szCs w:val="24"/>
                <w:vertAlign w:val="superscript"/>
              </w:rPr>
              <w:t>-1</w:t>
            </w:r>
          </w:p>
        </w:tc>
        <w:tc>
          <w:tcPr>
            <w:tcW w:w="421"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542"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1.07x10</w:t>
            </w:r>
            <w:r>
              <w:rPr>
                <w:rFonts w:ascii="Times New Roman" w:eastAsia="Times New Roman" w:hAnsi="Times New Roman" w:cs="Times New Roman"/>
                <w:color w:val="000000"/>
                <w:sz w:val="24"/>
                <w:szCs w:val="24"/>
                <w:vertAlign w:val="superscript"/>
              </w:rPr>
              <w:t>-1</w:t>
            </w:r>
          </w:p>
        </w:tc>
        <w:tc>
          <w:tcPr>
            <w:tcW w:w="421" w:type="pct"/>
            <w:tcBorders>
              <w:top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7.50x10</w:t>
            </w:r>
            <w:r>
              <w:rPr>
                <w:rFonts w:ascii="Times New Roman" w:eastAsia="Times New Roman" w:hAnsi="Times New Roman" w:cs="Times New Roman"/>
                <w:color w:val="000000"/>
                <w:sz w:val="24"/>
                <w:szCs w:val="24"/>
                <w:vertAlign w:val="superscript"/>
              </w:rPr>
              <w:t>-3</w:t>
            </w:r>
          </w:p>
        </w:tc>
      </w:tr>
      <w:tr w:rsidR="003451D7">
        <w:trPr>
          <w:trHeight w:val="312"/>
        </w:trPr>
        <w:tc>
          <w:tcPr>
            <w:tcW w:w="392" w:type="pct"/>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2</w:t>
            </w:r>
          </w:p>
        </w:tc>
        <w:tc>
          <w:tcPr>
            <w:tcW w:w="45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8.88x10</w:t>
            </w:r>
            <w:r>
              <w:rPr>
                <w:rFonts w:ascii="Times New Roman" w:eastAsia="Times New Roman" w:hAnsi="Times New Roman" w:cs="Times New Roman"/>
                <w:color w:val="000000"/>
                <w:sz w:val="24"/>
                <w:szCs w:val="24"/>
                <w:vertAlign w:val="superscript"/>
              </w:rPr>
              <w:t>-2</w:t>
            </w:r>
          </w:p>
        </w:tc>
        <w:tc>
          <w:tcPr>
            <w:tcW w:w="46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4.98x10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3.41x10</w:t>
            </w:r>
            <w:r>
              <w:rPr>
                <w:rFonts w:ascii="Times New Roman" w:eastAsia="Times New Roman" w:hAnsi="Times New Roman" w:cs="Times New Roman"/>
                <w:color w:val="000000"/>
                <w:sz w:val="24"/>
                <w:szCs w:val="24"/>
                <w:vertAlign w:val="superscript"/>
              </w:rPr>
              <w:t>-1</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9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8.88x10</w:t>
            </w:r>
            <w:r>
              <w:rPr>
                <w:rFonts w:ascii="Times New Roman" w:eastAsia="Times New Roman" w:hAnsi="Times New Roman" w:cs="Times New Roman"/>
                <w:color w:val="000000"/>
                <w:sz w:val="24"/>
                <w:szCs w:val="24"/>
                <w:vertAlign w:val="superscript"/>
              </w:rPr>
              <w:t>-3</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2.32x10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1.57x10</w:t>
            </w:r>
            <w:r>
              <w:rPr>
                <w:rFonts w:ascii="Times New Roman" w:eastAsia="Times New Roman" w:hAnsi="Times New Roman" w:cs="Times New Roman"/>
                <w:color w:val="000000"/>
                <w:sz w:val="24"/>
                <w:szCs w:val="24"/>
                <w:vertAlign w:val="superscript"/>
              </w:rPr>
              <w:t>-2</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3451D7">
        <w:trPr>
          <w:trHeight w:val="312"/>
        </w:trPr>
        <w:tc>
          <w:tcPr>
            <w:tcW w:w="392" w:type="pct"/>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3</w:t>
            </w:r>
          </w:p>
        </w:tc>
        <w:tc>
          <w:tcPr>
            <w:tcW w:w="451" w:type="pct"/>
            <w:noWrap/>
            <w:vAlign w:val="center"/>
          </w:tcPr>
          <w:p w:rsidR="003451D7" w:rsidRDefault="00715CE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6.53x10</w:t>
            </w:r>
            <w:r>
              <w:rPr>
                <w:rFonts w:ascii="Times New Roman" w:eastAsia="Times New Roman" w:hAnsi="Times New Roman" w:cs="Times New Roman"/>
                <w:color w:val="000000"/>
                <w:sz w:val="24"/>
                <w:szCs w:val="24"/>
                <w:vertAlign w:val="superscript"/>
              </w:rPr>
              <w:t>-1</w:t>
            </w:r>
          </w:p>
        </w:tc>
        <w:tc>
          <w:tcPr>
            <w:tcW w:w="46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8.61x10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1.84x10</w:t>
            </w:r>
            <w:r>
              <w:rPr>
                <w:rFonts w:ascii="Times New Roman" w:eastAsia="Times New Roman" w:hAnsi="Times New Roman" w:cs="Times New Roman"/>
                <w:color w:val="000000"/>
                <w:sz w:val="24"/>
                <w:szCs w:val="24"/>
                <w:vertAlign w:val="superscript"/>
              </w:rPr>
              <w:t>-1</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3.41x10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9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6.35x10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2.87x10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9.20x10</w:t>
            </w:r>
            <w:r>
              <w:rPr>
                <w:rFonts w:ascii="Times New Roman" w:eastAsia="Times New Roman" w:hAnsi="Times New Roman" w:cs="Times New Roman"/>
                <w:color w:val="000000"/>
                <w:sz w:val="24"/>
                <w:szCs w:val="24"/>
                <w:vertAlign w:val="superscript"/>
              </w:rPr>
              <w:t>-3</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3451D7">
        <w:trPr>
          <w:trHeight w:val="312"/>
        </w:trPr>
        <w:tc>
          <w:tcPr>
            <w:tcW w:w="392" w:type="pct"/>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4</w:t>
            </w:r>
          </w:p>
        </w:tc>
        <w:tc>
          <w:tcPr>
            <w:tcW w:w="45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6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1.57x10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1.36x10</w:t>
            </w:r>
            <w:r>
              <w:rPr>
                <w:rFonts w:ascii="Times New Roman" w:eastAsia="Times New Roman" w:hAnsi="Times New Roman" w:cs="Times New Roman"/>
                <w:color w:val="000000"/>
                <w:sz w:val="24"/>
                <w:szCs w:val="24"/>
                <w:vertAlign w:val="superscript"/>
              </w:rPr>
              <w:t>-2</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2.73x10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4.51x10</w:t>
            </w:r>
            <w:r>
              <w:rPr>
                <w:rFonts w:ascii="Times New Roman" w:eastAsia="Times New Roman" w:hAnsi="Times New Roman" w:cs="Times New Roman"/>
                <w:color w:val="000000"/>
                <w:sz w:val="24"/>
                <w:szCs w:val="24"/>
                <w:vertAlign w:val="superscript"/>
              </w:rPr>
              <w:t>-1</w:t>
            </w:r>
          </w:p>
        </w:tc>
        <w:tc>
          <w:tcPr>
            <w:tcW w:w="49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5.23x10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6.80x10</w:t>
            </w:r>
            <w:r>
              <w:rPr>
                <w:rFonts w:ascii="Times New Roman" w:eastAsia="Times New Roman" w:hAnsi="Times New Roman" w:cs="Times New Roman"/>
                <w:color w:val="000000"/>
                <w:sz w:val="24"/>
                <w:szCs w:val="24"/>
                <w:vertAlign w:val="superscript"/>
              </w:rPr>
              <w:t>-4</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9.10x10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2.25x10</w:t>
            </w:r>
            <w:r>
              <w:rPr>
                <w:rFonts w:ascii="Times New Roman" w:eastAsia="Times New Roman" w:hAnsi="Times New Roman" w:cs="Times New Roman"/>
                <w:color w:val="000000"/>
                <w:sz w:val="24"/>
                <w:szCs w:val="24"/>
                <w:vertAlign w:val="superscript"/>
              </w:rPr>
              <w:t>-2</w:t>
            </w:r>
          </w:p>
        </w:tc>
      </w:tr>
      <w:tr w:rsidR="003451D7">
        <w:trPr>
          <w:trHeight w:val="312"/>
        </w:trPr>
        <w:tc>
          <w:tcPr>
            <w:tcW w:w="392" w:type="pct"/>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5</w:t>
            </w:r>
          </w:p>
        </w:tc>
        <w:tc>
          <w:tcPr>
            <w:tcW w:w="45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2.05x10</w:t>
            </w:r>
            <w:r>
              <w:rPr>
                <w:rFonts w:ascii="Times New Roman" w:eastAsia="Times New Roman" w:hAnsi="Times New Roman" w:cs="Times New Roman"/>
                <w:color w:val="000000"/>
                <w:sz w:val="24"/>
                <w:szCs w:val="24"/>
                <w:vertAlign w:val="superscript"/>
              </w:rPr>
              <w:t>-2</w:t>
            </w:r>
          </w:p>
        </w:tc>
        <w:tc>
          <w:tcPr>
            <w:tcW w:w="46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4.92x10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9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2.05x10</w:t>
            </w:r>
            <w:r>
              <w:rPr>
                <w:rFonts w:ascii="Times New Roman" w:eastAsia="Times New Roman" w:hAnsi="Times New Roman" w:cs="Times New Roman"/>
                <w:color w:val="000000"/>
                <w:sz w:val="24"/>
                <w:szCs w:val="24"/>
                <w:vertAlign w:val="superscript"/>
              </w:rPr>
              <w:t>-3</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1.64x10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3451D7">
        <w:trPr>
          <w:trHeight w:val="312"/>
        </w:trPr>
        <w:tc>
          <w:tcPr>
            <w:tcW w:w="392" w:type="pct"/>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6</w:t>
            </w:r>
          </w:p>
        </w:tc>
        <w:tc>
          <w:tcPr>
            <w:tcW w:w="45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4.30x10</w:t>
            </w:r>
            <w:r>
              <w:rPr>
                <w:rFonts w:ascii="Times New Roman" w:eastAsia="Times New Roman" w:hAnsi="Times New Roman" w:cs="Times New Roman"/>
                <w:color w:val="000000"/>
                <w:sz w:val="24"/>
                <w:szCs w:val="24"/>
                <w:vertAlign w:val="superscript"/>
              </w:rPr>
              <w:t>-1</w:t>
            </w:r>
          </w:p>
        </w:tc>
        <w:tc>
          <w:tcPr>
            <w:tcW w:w="46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6.42x10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1.77x10</w:t>
            </w:r>
            <w:r>
              <w:rPr>
                <w:rFonts w:ascii="Times New Roman" w:eastAsia="Times New Roman" w:hAnsi="Times New Roman" w:cs="Times New Roman"/>
                <w:color w:val="000000"/>
                <w:sz w:val="24"/>
                <w:szCs w:val="24"/>
                <w:vertAlign w:val="superscript"/>
              </w:rPr>
              <w:t>-1</w:t>
            </w:r>
          </w:p>
        </w:tc>
        <w:tc>
          <w:tcPr>
            <w:tcW w:w="49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4.30x10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2.14x10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8.88x10</w:t>
            </w:r>
            <w:r>
              <w:rPr>
                <w:rFonts w:ascii="Times New Roman" w:eastAsia="Times New Roman" w:hAnsi="Times New Roman" w:cs="Times New Roman"/>
                <w:color w:val="000000"/>
                <w:sz w:val="24"/>
                <w:szCs w:val="24"/>
                <w:vertAlign w:val="superscript"/>
              </w:rPr>
              <w:t>-3</w:t>
            </w:r>
          </w:p>
        </w:tc>
      </w:tr>
      <w:tr w:rsidR="003451D7">
        <w:trPr>
          <w:trHeight w:val="312"/>
        </w:trPr>
        <w:tc>
          <w:tcPr>
            <w:tcW w:w="392" w:type="pct"/>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7</w:t>
            </w:r>
          </w:p>
        </w:tc>
        <w:tc>
          <w:tcPr>
            <w:tcW w:w="45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6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7.72x10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4.64x10</w:t>
            </w:r>
            <w:r>
              <w:rPr>
                <w:rFonts w:ascii="Times New Roman" w:eastAsia="Times New Roman" w:hAnsi="Times New Roman" w:cs="Times New Roman"/>
                <w:color w:val="000000"/>
                <w:sz w:val="24"/>
                <w:szCs w:val="24"/>
                <w:vertAlign w:val="superscript"/>
              </w:rPr>
              <w:t>-1</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9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2.57x10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2.32x10</w:t>
            </w:r>
            <w:r>
              <w:rPr>
                <w:rFonts w:ascii="Times New Roman" w:eastAsia="Times New Roman" w:hAnsi="Times New Roman" w:cs="Times New Roman"/>
                <w:color w:val="000000"/>
                <w:sz w:val="24"/>
                <w:szCs w:val="24"/>
                <w:vertAlign w:val="superscript"/>
              </w:rPr>
              <w:t>-2</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3451D7">
        <w:trPr>
          <w:trHeight w:val="312"/>
        </w:trPr>
        <w:tc>
          <w:tcPr>
            <w:tcW w:w="392" w:type="pct"/>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8</w:t>
            </w:r>
          </w:p>
        </w:tc>
        <w:tc>
          <w:tcPr>
            <w:tcW w:w="45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6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9.56x10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4.78x10</w:t>
            </w:r>
            <w:r>
              <w:rPr>
                <w:rFonts w:ascii="Times New Roman" w:eastAsia="Times New Roman" w:hAnsi="Times New Roman" w:cs="Times New Roman"/>
                <w:color w:val="000000"/>
                <w:sz w:val="24"/>
                <w:szCs w:val="24"/>
                <w:vertAlign w:val="superscript"/>
              </w:rPr>
              <w:t>-2</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2.25x10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6.15x10</w:t>
            </w:r>
            <w:r>
              <w:rPr>
                <w:rFonts w:ascii="Times New Roman" w:eastAsia="Times New Roman" w:hAnsi="Times New Roman" w:cs="Times New Roman"/>
                <w:color w:val="000000"/>
                <w:sz w:val="24"/>
                <w:szCs w:val="24"/>
                <w:vertAlign w:val="superscript"/>
              </w:rPr>
              <w:t>-2</w:t>
            </w:r>
          </w:p>
        </w:tc>
        <w:tc>
          <w:tcPr>
            <w:tcW w:w="49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3.18x10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2.39x10</w:t>
            </w:r>
            <w:r>
              <w:rPr>
                <w:rFonts w:ascii="Times New Roman" w:eastAsia="Times New Roman" w:hAnsi="Times New Roman" w:cs="Times New Roman"/>
                <w:color w:val="000000"/>
                <w:sz w:val="24"/>
                <w:szCs w:val="24"/>
                <w:vertAlign w:val="superscript"/>
              </w:rPr>
              <w:t>-3</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7.50x10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3.07x10</w:t>
            </w:r>
            <w:r>
              <w:rPr>
                <w:rFonts w:ascii="Times New Roman" w:eastAsia="Times New Roman" w:hAnsi="Times New Roman" w:cs="Times New Roman"/>
                <w:color w:val="000000"/>
                <w:sz w:val="24"/>
                <w:szCs w:val="24"/>
                <w:vertAlign w:val="superscript"/>
              </w:rPr>
              <w:t>-3</w:t>
            </w:r>
          </w:p>
        </w:tc>
      </w:tr>
      <w:tr w:rsidR="003451D7">
        <w:trPr>
          <w:trHeight w:val="312"/>
        </w:trPr>
        <w:tc>
          <w:tcPr>
            <w:tcW w:w="392" w:type="pct"/>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9</w:t>
            </w:r>
          </w:p>
        </w:tc>
        <w:tc>
          <w:tcPr>
            <w:tcW w:w="45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1.64x10</w:t>
            </w:r>
            <w:r>
              <w:rPr>
                <w:rFonts w:ascii="Times New Roman" w:eastAsia="Times New Roman" w:hAnsi="Times New Roman" w:cs="Times New Roman"/>
                <w:color w:val="000000"/>
                <w:sz w:val="24"/>
                <w:szCs w:val="24"/>
                <w:vertAlign w:val="superscript"/>
              </w:rPr>
              <w:t>-1</w:t>
            </w:r>
          </w:p>
        </w:tc>
        <w:tc>
          <w:tcPr>
            <w:tcW w:w="46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1.23x10</w:t>
            </w:r>
            <w:r>
              <w:rPr>
                <w:rFonts w:ascii="Times New Roman" w:eastAsia="Times New Roman" w:hAnsi="Times New Roman" w:cs="Times New Roman"/>
                <w:color w:val="000000"/>
                <w:sz w:val="24"/>
                <w:szCs w:val="24"/>
                <w:vertAlign w:val="superscript"/>
              </w:rPr>
              <w:t>-1</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3.41x10</w:t>
            </w:r>
            <w:r>
              <w:rPr>
                <w:rFonts w:ascii="Times New Roman" w:eastAsia="Times New Roman" w:hAnsi="Times New Roman" w:cs="Times New Roman"/>
                <w:color w:val="000000"/>
                <w:sz w:val="24"/>
                <w:szCs w:val="24"/>
                <w:vertAlign w:val="superscript"/>
              </w:rPr>
              <w:t>-2</w:t>
            </w:r>
          </w:p>
        </w:tc>
        <w:tc>
          <w:tcPr>
            <w:tcW w:w="499"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1.64x10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542"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4.10x10</w:t>
            </w:r>
            <w:r>
              <w:rPr>
                <w:rFonts w:ascii="Times New Roman" w:eastAsia="Times New Roman" w:hAnsi="Times New Roman" w:cs="Times New Roman"/>
                <w:color w:val="000000"/>
                <w:sz w:val="24"/>
                <w:szCs w:val="24"/>
                <w:vertAlign w:val="superscript"/>
              </w:rPr>
              <w:t>-2</w:t>
            </w:r>
          </w:p>
        </w:tc>
        <w:tc>
          <w:tcPr>
            <w:tcW w:w="421" w:type="pct"/>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1.72x10</w:t>
            </w:r>
            <w:r>
              <w:rPr>
                <w:rFonts w:ascii="Times New Roman" w:eastAsia="Times New Roman" w:hAnsi="Times New Roman" w:cs="Times New Roman"/>
                <w:color w:val="000000"/>
                <w:sz w:val="24"/>
                <w:szCs w:val="24"/>
                <w:vertAlign w:val="superscript"/>
              </w:rPr>
              <w:t>-3</w:t>
            </w:r>
          </w:p>
        </w:tc>
      </w:tr>
      <w:tr w:rsidR="003451D7">
        <w:trPr>
          <w:trHeight w:val="312"/>
        </w:trPr>
        <w:tc>
          <w:tcPr>
            <w:tcW w:w="392"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FWS 10</w:t>
            </w:r>
          </w:p>
        </w:tc>
        <w:tc>
          <w:tcPr>
            <w:tcW w:w="451"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7.24x10</w:t>
            </w:r>
            <w:r>
              <w:rPr>
                <w:rFonts w:ascii="Times New Roman" w:eastAsia="Times New Roman" w:hAnsi="Times New Roman" w:cs="Times New Roman"/>
                <w:color w:val="000000"/>
                <w:sz w:val="24"/>
                <w:szCs w:val="24"/>
                <w:vertAlign w:val="superscript"/>
              </w:rPr>
              <w:t>-1</w:t>
            </w:r>
          </w:p>
        </w:tc>
        <w:tc>
          <w:tcPr>
            <w:tcW w:w="469"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4.37x10</w:t>
            </w:r>
            <w:r>
              <w:rPr>
                <w:rFonts w:ascii="Times New Roman" w:eastAsia="Times New Roman" w:hAnsi="Times New Roman" w:cs="Times New Roman"/>
                <w:color w:val="000000"/>
                <w:sz w:val="24"/>
                <w:szCs w:val="24"/>
                <w:vertAlign w:val="superscript"/>
              </w:rPr>
              <w:t>-1</w:t>
            </w:r>
          </w:p>
        </w:tc>
        <w:tc>
          <w:tcPr>
            <w:tcW w:w="421"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5.46x10</w:t>
            </w:r>
            <w:r>
              <w:rPr>
                <w:rFonts w:ascii="Times New Roman" w:eastAsia="Times New Roman" w:hAnsi="Times New Roman" w:cs="Times New Roman"/>
                <w:color w:val="000000"/>
                <w:sz w:val="24"/>
                <w:szCs w:val="24"/>
                <w:vertAlign w:val="superscript"/>
              </w:rPr>
              <w:t>-2</w:t>
            </w:r>
          </w:p>
        </w:tc>
        <w:tc>
          <w:tcPr>
            <w:tcW w:w="542"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6.35x10</w:t>
            </w:r>
            <w:r>
              <w:rPr>
                <w:rFonts w:ascii="Times New Roman" w:eastAsia="Times New Roman" w:hAnsi="Times New Roman" w:cs="Times New Roman"/>
                <w:color w:val="000000"/>
                <w:sz w:val="24"/>
                <w:szCs w:val="24"/>
                <w:vertAlign w:val="superscript"/>
              </w:rPr>
              <w:t>-1</w:t>
            </w:r>
          </w:p>
        </w:tc>
        <w:tc>
          <w:tcPr>
            <w:tcW w:w="421"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499"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7.24x10</w:t>
            </w:r>
            <w:r>
              <w:rPr>
                <w:rFonts w:ascii="Times New Roman" w:eastAsia="Times New Roman" w:hAnsi="Times New Roman" w:cs="Times New Roman"/>
                <w:color w:val="000000"/>
                <w:sz w:val="24"/>
                <w:szCs w:val="24"/>
                <w:vertAlign w:val="superscript"/>
              </w:rPr>
              <w:t>-2</w:t>
            </w:r>
          </w:p>
        </w:tc>
        <w:tc>
          <w:tcPr>
            <w:tcW w:w="421"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1.45x10</w:t>
            </w:r>
            <w:r>
              <w:rPr>
                <w:rFonts w:ascii="Times New Roman" w:eastAsia="Times New Roman" w:hAnsi="Times New Roman" w:cs="Times New Roman"/>
                <w:color w:val="000000"/>
                <w:sz w:val="24"/>
                <w:szCs w:val="24"/>
                <w:vertAlign w:val="superscript"/>
              </w:rPr>
              <w:t>-1</w:t>
            </w:r>
          </w:p>
        </w:tc>
        <w:tc>
          <w:tcPr>
            <w:tcW w:w="421"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2.73x10</w:t>
            </w:r>
            <w:r>
              <w:rPr>
                <w:rFonts w:ascii="Times New Roman" w:eastAsia="Times New Roman" w:hAnsi="Times New Roman" w:cs="Times New Roman"/>
                <w:color w:val="000000"/>
                <w:sz w:val="24"/>
                <w:szCs w:val="24"/>
                <w:vertAlign w:val="superscript"/>
              </w:rPr>
              <w:t>-3</w:t>
            </w:r>
          </w:p>
        </w:tc>
        <w:tc>
          <w:tcPr>
            <w:tcW w:w="542" w:type="pct"/>
            <w:tcBorders>
              <w:bottom w:val="single" w:sz="4" w:space="0" w:color="auto"/>
            </w:tcBorders>
            <w:noWrap/>
            <w:vAlign w:val="center"/>
          </w:tcPr>
          <w:p w:rsidR="003451D7" w:rsidRDefault="00715CE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2.11x10</w:t>
            </w:r>
            <w:r>
              <w:rPr>
                <w:rFonts w:ascii="Times New Roman" w:eastAsia="Times New Roman" w:hAnsi="Times New Roman" w:cs="Times New Roman"/>
                <w:color w:val="000000"/>
                <w:sz w:val="24"/>
                <w:szCs w:val="24"/>
                <w:vertAlign w:val="superscript"/>
              </w:rPr>
              <w:t>-1</w:t>
            </w:r>
          </w:p>
        </w:tc>
        <w:tc>
          <w:tcPr>
            <w:tcW w:w="421" w:type="pct"/>
            <w:tcBorders>
              <w:bottom w:val="single" w:sz="4" w:space="0" w:color="auto"/>
            </w:tcBorders>
            <w:noWrap/>
            <w:vAlign w:val="center"/>
          </w:tcPr>
          <w:p w:rsidR="003451D7" w:rsidRDefault="00715CE0">
            <w:pPr>
              <w:keepNext/>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bl>
    <w:p w:rsidR="003451D7" w:rsidRDefault="003451D7">
      <w:pPr>
        <w:pStyle w:val="Caption"/>
        <w:spacing w:before="240" w:after="160" w:line="360" w:lineRule="auto"/>
        <w:rPr>
          <w:rFonts w:ascii="Times New Roman" w:hAnsi="Times New Roman" w:cs="Times New Roman"/>
          <w:sz w:val="24"/>
          <w:szCs w:val="24"/>
        </w:rPr>
        <w:sectPr w:rsidR="003451D7">
          <w:pgSz w:w="15840" w:h="12240" w:orient="landscape"/>
          <w:pgMar w:top="720" w:right="720" w:bottom="720" w:left="720" w:header="708" w:footer="708" w:gutter="0"/>
          <w:cols w:space="708"/>
          <w:docGrid w:linePitch="360"/>
        </w:sectPr>
      </w:pPr>
    </w:p>
    <w:p w:rsidR="003451D7" w:rsidRDefault="00CE55F6" w:rsidP="00CE55F6">
      <w:pPr>
        <w:pStyle w:val="Caption"/>
        <w:keepNext/>
      </w:pPr>
      <w:bookmarkStart w:id="209" w:name="_Toc204038305"/>
      <w:r>
        <w:rPr>
          <w:noProof/>
        </w:rPr>
        <w:lastRenderedPageBreak/>
        <w:drawing>
          <wp:inline distT="0" distB="0" distL="0" distR="0" wp14:anchorId="77F1C821" wp14:editId="7F484406">
            <wp:extent cx="2667000" cy="1775799"/>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73"/>
                    <a:stretch>
                      <a:fillRect/>
                    </a:stretch>
                  </pic:blipFill>
                  <pic:spPr>
                    <a:xfrm>
                      <a:off x="0" y="0"/>
                      <a:ext cx="2699927" cy="1797723"/>
                    </a:xfrm>
                    <a:prstGeom prst="rect">
                      <a:avLst/>
                    </a:prstGeom>
                  </pic:spPr>
                </pic:pic>
              </a:graphicData>
            </a:graphic>
          </wp:inline>
        </w:drawing>
      </w:r>
      <w:r>
        <w:t xml:space="preserve">    </w:t>
      </w:r>
      <w:r>
        <w:rPr>
          <w:noProof/>
        </w:rPr>
        <w:drawing>
          <wp:inline distT="0" distB="0" distL="0" distR="0" wp14:anchorId="5B57DFA3" wp14:editId="552B5A76">
            <wp:extent cx="2853336" cy="1776730"/>
            <wp:effectExtent l="0" t="0" r="4445"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74"/>
                    <a:stretch>
                      <a:fillRect/>
                    </a:stretch>
                  </pic:blipFill>
                  <pic:spPr>
                    <a:xfrm>
                      <a:off x="0" y="0"/>
                      <a:ext cx="2991702" cy="1862888"/>
                    </a:xfrm>
                    <a:prstGeom prst="rect">
                      <a:avLst/>
                    </a:prstGeom>
                  </pic:spPr>
                </pic:pic>
              </a:graphicData>
            </a:graphic>
          </wp:inline>
        </w:drawing>
      </w:r>
    </w:p>
    <w:p w:rsidR="003451D7" w:rsidRDefault="00715CE0">
      <w:pPr>
        <w:pStyle w:val="Caption"/>
        <w:jc w:val="center"/>
        <w:rPr>
          <w:rFonts w:ascii="Times New Roman" w:hAnsi="Times New Roman" w:cs="Times New Roman"/>
          <w:color w:val="auto"/>
          <w:sz w:val="22"/>
          <w:szCs w:val="22"/>
        </w:rPr>
      </w:pPr>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17</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sidRPr="00CE55F6">
        <w:rPr>
          <w:rFonts w:ascii="Times New Roman" w:hAnsi="Times New Roman" w:cs="Times New Roman"/>
          <w:color w:val="auto"/>
          <w:sz w:val="22"/>
          <w:szCs w:val="22"/>
        </w:rPr>
        <w:t>Hazard Quotient</w:t>
      </w:r>
    </w:p>
    <w:bookmarkEnd w:id="209"/>
    <w:p w:rsidR="003451D7" w:rsidRDefault="003451D7">
      <w:pPr>
        <w:spacing w:before="240" w:line="360" w:lineRule="auto"/>
        <w:rPr>
          <w:rFonts w:ascii="Times New Roman" w:hAnsi="Times New Roman" w:cs="Times New Roman"/>
          <w:sz w:val="24"/>
          <w:szCs w:val="24"/>
        </w:rPr>
      </w:pPr>
    </w:p>
    <w:p w:rsidR="003451D7" w:rsidRDefault="00715CE0">
      <w:pPr>
        <w:pStyle w:val="Heading2"/>
        <w:rPr>
          <w:rFonts w:cs="Times New Roman"/>
        </w:rPr>
      </w:pPr>
      <w:bookmarkStart w:id="210" w:name="_Toc202982425"/>
      <w:bookmarkStart w:id="211" w:name="_Toc208820430"/>
      <w:bookmarkStart w:id="212" w:name="_Toc202990494"/>
      <w:r>
        <w:rPr>
          <w:rFonts w:cs="Times New Roman"/>
        </w:rPr>
        <w:t>Steroids</w:t>
      </w:r>
      <w:bookmarkEnd w:id="210"/>
      <w:bookmarkEnd w:id="211"/>
      <w:bookmarkEnd w:id="212"/>
    </w:p>
    <w:p w:rsidR="003451D7" w:rsidRDefault="00715CE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analysis of ten facial wash samples for undeclared steroids revealed the presence of both betamethasone and hydrocortisone. As detailed in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_Ref202980898 \h  \* MERGEFORMAT </w:instrText>
      </w:r>
      <w:r>
        <w:rPr>
          <w:rFonts w:ascii="Times New Roman" w:hAnsi="Times New Roman" w:cs="Times New Roman"/>
          <w:sz w:val="24"/>
          <w:szCs w:val="24"/>
        </w:rPr>
      </w:r>
      <w:r>
        <w:rPr>
          <w:rFonts w:ascii="Times New Roman" w:hAnsi="Times New Roman" w:cs="Times New Roman"/>
          <w:sz w:val="24"/>
          <w:szCs w:val="24"/>
        </w:rPr>
        <w:fldChar w:fldCharType="separate"/>
      </w:r>
      <w:r w:rsidR="00DE5BAE">
        <w:rPr>
          <w:rFonts w:ascii="Times New Roman" w:hAnsi="Times New Roman" w:cs="Times New Roman"/>
          <w:b/>
          <w:bCs/>
        </w:rPr>
        <w:t xml:space="preserve">Table </w:t>
      </w:r>
      <w:r w:rsidR="00DE5BAE" w:rsidRPr="00DE5BAE">
        <w:rPr>
          <w:rFonts w:ascii="Times New Roman" w:hAnsi="Times New Roman" w:cs="Times New Roman"/>
          <w:b/>
          <w:bCs/>
        </w:rPr>
        <w:t>4</w:t>
      </w:r>
      <w:r w:rsidR="00DE5BAE">
        <w:rPr>
          <w:rFonts w:ascii="Times New Roman" w:hAnsi="Times New Roman" w:cs="Times New Roman"/>
          <w:b/>
          <w:bCs/>
        </w:rPr>
        <w:t>.</w:t>
      </w:r>
      <w:r w:rsidR="00DE5BAE" w:rsidRPr="00DE5BAE">
        <w:rPr>
          <w:rFonts w:ascii="Times New Roman" w:hAnsi="Times New Roman" w:cs="Times New Roman"/>
          <w:b/>
          <w:bCs/>
        </w:rPr>
        <w:t>6</w:t>
      </w:r>
      <w:r>
        <w:rPr>
          <w:rFonts w:ascii="Times New Roman" w:hAnsi="Times New Roman" w:cs="Times New Roman"/>
          <w:sz w:val="24"/>
          <w:szCs w:val="24"/>
        </w:rPr>
        <w:fldChar w:fldCharType="end"/>
      </w:r>
      <w:r>
        <w:rPr>
          <w:rFonts w:ascii="Times New Roman" w:hAnsi="Times New Roman" w:cs="Times New Roman"/>
          <w:sz w:val="24"/>
          <w:szCs w:val="24"/>
        </w:rPr>
        <w:t xml:space="preserve">, 20% (2 out of 10) of the samples contained betamethasone, specifically FWS3 and FWS7, with concentrations ranging from 0.6 to 0.9. Hydrocortisone was detected in 40% (4 out of 10) of the samples (FWS2, FWS5, FWS7, and FWS9), at concentrations between 0.2 and 2.4. Notably, sample FWS7 contained both betamethasone and hydrocortisone. </w:t>
      </w:r>
    </w:p>
    <w:p w:rsidR="003451D7" w:rsidRDefault="003451D7">
      <w:pPr>
        <w:spacing w:line="360" w:lineRule="auto"/>
        <w:jc w:val="both"/>
        <w:rPr>
          <w:rFonts w:ascii="Times New Roman" w:hAnsi="Times New Roman" w:cs="Times New Roman"/>
          <w:sz w:val="24"/>
          <w:szCs w:val="24"/>
        </w:rPr>
      </w:pPr>
    </w:p>
    <w:p w:rsidR="003451D7" w:rsidRDefault="00715CE0">
      <w:pPr>
        <w:keepNext/>
        <w:spacing w:line="360" w:lineRule="auto"/>
        <w:jc w:val="center"/>
        <w:rPr>
          <w:rFonts w:ascii="Times New Roman" w:hAnsi="Times New Roman" w:cs="Times New Roman"/>
        </w:rPr>
      </w:pPr>
      <w:r>
        <w:rPr>
          <w:rFonts w:ascii="Times New Roman" w:hAnsi="Times New Roman" w:cs="Times New Roman"/>
          <w:b/>
          <w:noProof/>
          <w:sz w:val="24"/>
          <w:szCs w:val="24"/>
        </w:rPr>
        <w:drawing>
          <wp:inline distT="0" distB="0" distL="0" distR="0">
            <wp:extent cx="5943600" cy="27889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75" cstate="print">
                      <a:extLst>
                        <a:ext uri="{28A0092B-C50C-407E-A947-70E740481C1C}">
                          <a14:useLocalDpi xmlns:a14="http://schemas.microsoft.com/office/drawing/2010/main" val="0"/>
                        </a:ext>
                      </a:extLst>
                    </a:blip>
                    <a:srcRect b="16787"/>
                    <a:stretch>
                      <a:fillRect/>
                    </a:stretch>
                  </pic:blipFill>
                  <pic:spPr>
                    <a:xfrm>
                      <a:off x="0" y="0"/>
                      <a:ext cx="5943600" cy="2788920"/>
                    </a:xfrm>
                    <a:prstGeom prst="rect">
                      <a:avLst/>
                    </a:prstGeom>
                    <a:ln>
                      <a:noFill/>
                    </a:ln>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213" w:name="_Toc204038306"/>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18</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Hydrocortisone Standard Chromatograph</w:t>
      </w:r>
      <w:bookmarkEnd w:id="213"/>
    </w:p>
    <w:p w:rsidR="003451D7" w:rsidRDefault="003451D7">
      <w:pPr>
        <w:spacing w:line="360" w:lineRule="auto"/>
        <w:jc w:val="both"/>
        <w:rPr>
          <w:rFonts w:ascii="Times New Roman" w:hAnsi="Times New Roman" w:cs="Times New Roman"/>
          <w:sz w:val="24"/>
          <w:szCs w:val="24"/>
        </w:rPr>
      </w:pPr>
    </w:p>
    <w:p w:rsidR="003451D7" w:rsidRDefault="00715CE0">
      <w:pPr>
        <w:keepNext/>
        <w:spacing w:line="360" w:lineRule="auto"/>
        <w:jc w:val="center"/>
        <w:rPr>
          <w:rFonts w:ascii="Times New Roman" w:hAnsi="Times New Roman" w:cs="Times New Roman"/>
        </w:rPr>
      </w:pPr>
      <w:r>
        <w:rPr>
          <w:rFonts w:ascii="Times New Roman" w:hAnsi="Times New Roman" w:cs="Times New Roman"/>
          <w:b/>
          <w:noProof/>
          <w:sz w:val="24"/>
          <w:szCs w:val="24"/>
        </w:rPr>
        <w:drawing>
          <wp:inline distT="0" distB="0" distL="0" distR="0">
            <wp:extent cx="5943600" cy="284988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76" cstate="print">
                      <a:extLst>
                        <a:ext uri="{28A0092B-C50C-407E-A947-70E740481C1C}">
                          <a14:useLocalDpi xmlns:a14="http://schemas.microsoft.com/office/drawing/2010/main" val="0"/>
                        </a:ext>
                      </a:extLst>
                    </a:blip>
                    <a:srcRect b="10258"/>
                    <a:stretch>
                      <a:fillRect/>
                    </a:stretch>
                  </pic:blipFill>
                  <pic:spPr>
                    <a:xfrm>
                      <a:off x="0" y="0"/>
                      <a:ext cx="5943600" cy="2849880"/>
                    </a:xfrm>
                    <a:prstGeom prst="rect">
                      <a:avLst/>
                    </a:prstGeom>
                    <a:ln>
                      <a:noFill/>
                    </a:ln>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214" w:name="_Toc204038307"/>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19</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Hydrocortisone detected Chromatograph</w:t>
      </w:r>
      <w:bookmarkEnd w:id="214"/>
    </w:p>
    <w:p w:rsidR="003451D7" w:rsidRDefault="003451D7">
      <w:pPr>
        <w:spacing w:line="360" w:lineRule="auto"/>
        <w:jc w:val="both"/>
        <w:rPr>
          <w:rFonts w:ascii="Times New Roman" w:hAnsi="Times New Roman" w:cs="Times New Roman"/>
          <w:sz w:val="24"/>
          <w:szCs w:val="24"/>
        </w:rPr>
      </w:pPr>
    </w:p>
    <w:p w:rsidR="003451D7" w:rsidRDefault="00715CE0">
      <w:pPr>
        <w:keepNext/>
        <w:spacing w:line="360" w:lineRule="auto"/>
        <w:jc w:val="center"/>
        <w:rPr>
          <w:rFonts w:ascii="Times New Roman" w:hAnsi="Times New Roman" w:cs="Times New Roman"/>
        </w:rPr>
      </w:pPr>
      <w:r>
        <w:rPr>
          <w:rFonts w:ascii="Times New Roman" w:hAnsi="Times New Roman" w:cs="Times New Roman"/>
          <w:b/>
          <w:noProof/>
          <w:sz w:val="24"/>
          <w:szCs w:val="24"/>
        </w:rPr>
        <w:drawing>
          <wp:inline distT="0" distB="0" distL="0" distR="0">
            <wp:extent cx="5943600" cy="279654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77" cstate="print">
                      <a:extLst>
                        <a:ext uri="{28A0092B-C50C-407E-A947-70E740481C1C}">
                          <a14:useLocalDpi xmlns:a14="http://schemas.microsoft.com/office/drawing/2010/main" val="0"/>
                        </a:ext>
                      </a:extLst>
                    </a:blip>
                    <a:srcRect t="2714" b="6744"/>
                    <a:stretch>
                      <a:fillRect/>
                    </a:stretch>
                  </pic:blipFill>
                  <pic:spPr>
                    <a:xfrm>
                      <a:off x="0" y="0"/>
                      <a:ext cx="5943600" cy="2796540"/>
                    </a:xfrm>
                    <a:prstGeom prst="rect">
                      <a:avLst/>
                    </a:prstGeom>
                    <a:ln>
                      <a:noFill/>
                    </a:ln>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215" w:name="_Toc204038308"/>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20</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Hydrocortisone non-detected Chromatograph</w:t>
      </w:r>
      <w:bookmarkEnd w:id="215"/>
    </w:p>
    <w:p w:rsidR="003451D7" w:rsidRDefault="003451D7">
      <w:pPr>
        <w:spacing w:line="360" w:lineRule="auto"/>
        <w:jc w:val="both"/>
        <w:rPr>
          <w:rFonts w:ascii="Times New Roman" w:hAnsi="Times New Roman" w:cs="Times New Roman"/>
          <w:sz w:val="24"/>
          <w:szCs w:val="24"/>
        </w:rPr>
      </w:pPr>
    </w:p>
    <w:p w:rsidR="003451D7" w:rsidRDefault="00715CE0">
      <w:pPr>
        <w:spacing w:line="360" w:lineRule="auto"/>
        <w:jc w:val="both"/>
        <w:rPr>
          <w:rFonts w:ascii="Times New Roman" w:hAnsi="Times New Roman" w:cs="Times New Roman"/>
          <w:sz w:val="24"/>
          <w:szCs w:val="24"/>
        </w:rPr>
      </w:pPr>
      <w:r>
        <w:rPr>
          <w:rFonts w:ascii="Times New Roman" w:hAnsi="Times New Roman" w:cs="Times New Roman"/>
          <w:sz w:val="24"/>
          <w:szCs w:val="24"/>
        </w:rPr>
        <w:t>The results correlate with the prior studies revealing the common problem of un-reported corticosteroids in cosmetic products, especially those available as skin-lighteners or anti-</w:t>
      </w:r>
      <w:r>
        <w:rPr>
          <w:rFonts w:ascii="Times New Roman" w:hAnsi="Times New Roman" w:cs="Times New Roman"/>
          <w:sz w:val="24"/>
          <w:szCs w:val="24"/>
        </w:rPr>
        <w:lastRenderedPageBreak/>
        <w:t>inflammatory products (Gimeno et al., 2016; Jaccob et al., 2019). As an example, the different corticosteroids such as betamethasone and hydrocortisone were found in cosmetic products in other areas by (Nam et al., 2012) and (Fiori &amp; Andrisano et al., 2014). These active pharmaceutical ingredients in cosmetic products are of major concern because of their adverse effects and the severity of the effects which include permanent skin atrophy, steroid rosacea, perioral dermatitis, and steroid induced acne (Nam et al., 2012). The identification of several steroids in one sample, which is the case of FWS7, makes the composition of these formulations even more complex and risky.</w:t>
      </w:r>
    </w:p>
    <w:p w:rsidR="003451D7" w:rsidRDefault="003451D7">
      <w:pPr>
        <w:spacing w:line="360" w:lineRule="auto"/>
        <w:jc w:val="both"/>
        <w:rPr>
          <w:rFonts w:ascii="Times New Roman" w:hAnsi="Times New Roman" w:cs="Times New Roman"/>
          <w:sz w:val="24"/>
          <w:szCs w:val="24"/>
        </w:rPr>
      </w:pPr>
    </w:p>
    <w:p w:rsidR="003451D7" w:rsidRDefault="00715CE0">
      <w:pPr>
        <w:keepNext/>
        <w:spacing w:line="360" w:lineRule="auto"/>
        <w:jc w:val="center"/>
        <w:rPr>
          <w:rFonts w:ascii="Times New Roman" w:hAnsi="Times New Roman" w:cs="Times New Roman"/>
        </w:rPr>
      </w:pPr>
      <w:r>
        <w:rPr>
          <w:rFonts w:ascii="Times New Roman" w:hAnsi="Times New Roman" w:cs="Times New Roman"/>
          <w:b/>
          <w:noProof/>
          <w:sz w:val="24"/>
          <w:szCs w:val="24"/>
        </w:rPr>
        <w:drawing>
          <wp:inline distT="0" distB="0" distL="0" distR="0">
            <wp:extent cx="5875020" cy="2759075"/>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78" cstate="print">
                      <a:extLst>
                        <a:ext uri="{28A0092B-C50C-407E-A947-70E740481C1C}">
                          <a14:useLocalDpi xmlns:a14="http://schemas.microsoft.com/office/drawing/2010/main" val="0"/>
                        </a:ext>
                      </a:extLst>
                    </a:blip>
                    <a:srcRect l="1154" t="1362"/>
                    <a:stretch>
                      <a:fillRect/>
                    </a:stretch>
                  </pic:blipFill>
                  <pic:spPr>
                    <a:xfrm>
                      <a:off x="0" y="0"/>
                      <a:ext cx="5875020" cy="2759075"/>
                    </a:xfrm>
                    <a:prstGeom prst="rect">
                      <a:avLst/>
                    </a:prstGeom>
                    <a:ln>
                      <a:noFill/>
                    </a:ln>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216" w:name="_Toc204038309"/>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21</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Betamethasone standard Chromatograph</w:t>
      </w:r>
      <w:bookmarkEnd w:id="216"/>
    </w:p>
    <w:p w:rsidR="003451D7" w:rsidRDefault="003451D7">
      <w:pPr>
        <w:spacing w:line="360" w:lineRule="auto"/>
        <w:jc w:val="both"/>
        <w:rPr>
          <w:rFonts w:ascii="Times New Roman" w:hAnsi="Times New Roman" w:cs="Times New Roman"/>
          <w:sz w:val="24"/>
          <w:szCs w:val="24"/>
        </w:rPr>
      </w:pPr>
    </w:p>
    <w:p w:rsidR="003451D7" w:rsidRDefault="00715CE0">
      <w:pPr>
        <w:keepNext/>
        <w:spacing w:line="360" w:lineRule="auto"/>
        <w:jc w:val="center"/>
        <w:rPr>
          <w:rFonts w:ascii="Times New Roman" w:hAnsi="Times New Roman" w:cs="Times New Roman"/>
        </w:rPr>
      </w:pPr>
      <w:r>
        <w:rPr>
          <w:rFonts w:ascii="Times New Roman" w:hAnsi="Times New Roman" w:cs="Times New Roman"/>
          <w:b/>
          <w:noProof/>
          <w:sz w:val="24"/>
          <w:szCs w:val="24"/>
        </w:rPr>
        <w:lastRenderedPageBreak/>
        <w:drawing>
          <wp:inline distT="0" distB="0" distL="0" distR="0">
            <wp:extent cx="5920740" cy="2804160"/>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79" cstate="print">
                      <a:extLst>
                        <a:ext uri="{28A0092B-C50C-407E-A947-70E740481C1C}">
                          <a14:useLocalDpi xmlns:a14="http://schemas.microsoft.com/office/drawing/2010/main" val="0"/>
                        </a:ext>
                      </a:extLst>
                    </a:blip>
                    <a:srcRect l="386" r="-1" b="1031"/>
                    <a:stretch>
                      <a:fillRect/>
                    </a:stretch>
                  </pic:blipFill>
                  <pic:spPr>
                    <a:xfrm>
                      <a:off x="0" y="0"/>
                      <a:ext cx="5920740" cy="2804160"/>
                    </a:xfrm>
                    <a:prstGeom prst="rect">
                      <a:avLst/>
                    </a:prstGeom>
                    <a:ln>
                      <a:noFill/>
                    </a:ln>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217" w:name="_Toc204038310"/>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22</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Betamethasone detected Chromatograph</w:t>
      </w:r>
      <w:bookmarkEnd w:id="217"/>
    </w:p>
    <w:p w:rsidR="003451D7" w:rsidRDefault="003451D7">
      <w:pPr>
        <w:spacing w:line="360" w:lineRule="auto"/>
        <w:jc w:val="both"/>
        <w:rPr>
          <w:rFonts w:ascii="Times New Roman" w:hAnsi="Times New Roman" w:cs="Times New Roman"/>
          <w:sz w:val="24"/>
          <w:szCs w:val="24"/>
        </w:rPr>
      </w:pPr>
    </w:p>
    <w:p w:rsidR="003451D7" w:rsidRDefault="00715CE0">
      <w:pPr>
        <w:keepNext/>
        <w:spacing w:line="360" w:lineRule="auto"/>
        <w:jc w:val="center"/>
        <w:rPr>
          <w:rFonts w:ascii="Times New Roman" w:hAnsi="Times New Roman" w:cs="Times New Roman"/>
        </w:rPr>
      </w:pPr>
      <w:r>
        <w:rPr>
          <w:rFonts w:ascii="Times New Roman" w:hAnsi="Times New Roman" w:cs="Times New Roman"/>
          <w:b/>
          <w:noProof/>
          <w:sz w:val="24"/>
          <w:szCs w:val="24"/>
        </w:rPr>
        <w:drawing>
          <wp:inline distT="0" distB="0" distL="0" distR="0">
            <wp:extent cx="5943600" cy="28803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80" cstate="print">
                      <a:extLst>
                        <a:ext uri="{28A0092B-C50C-407E-A947-70E740481C1C}">
                          <a14:useLocalDpi xmlns:a14="http://schemas.microsoft.com/office/drawing/2010/main" val="0"/>
                        </a:ext>
                      </a:extLst>
                    </a:blip>
                    <a:srcRect b="4485"/>
                    <a:stretch>
                      <a:fillRect/>
                    </a:stretch>
                  </pic:blipFill>
                  <pic:spPr>
                    <a:xfrm>
                      <a:off x="0" y="0"/>
                      <a:ext cx="5943600" cy="2880360"/>
                    </a:xfrm>
                    <a:prstGeom prst="rect">
                      <a:avLst/>
                    </a:prstGeom>
                    <a:ln>
                      <a:noFill/>
                    </a:ln>
                  </pic:spPr>
                </pic:pic>
              </a:graphicData>
            </a:graphic>
          </wp:inline>
        </w:drawing>
      </w:r>
    </w:p>
    <w:p w:rsidR="003451D7" w:rsidRDefault="00715CE0">
      <w:pPr>
        <w:pStyle w:val="Caption"/>
        <w:jc w:val="center"/>
        <w:rPr>
          <w:rFonts w:ascii="Times New Roman" w:hAnsi="Times New Roman" w:cs="Times New Roman"/>
          <w:color w:val="auto"/>
          <w:sz w:val="22"/>
          <w:szCs w:val="22"/>
        </w:rPr>
      </w:pPr>
      <w:bookmarkStart w:id="218" w:name="_Toc204038311"/>
      <w:r>
        <w:rPr>
          <w:rFonts w:ascii="Times New Roman" w:hAnsi="Times New Roman" w:cs="Times New Roman"/>
          <w:b/>
          <w:bCs/>
          <w:color w:val="auto"/>
          <w:sz w:val="22"/>
          <w:szCs w:val="22"/>
        </w:rPr>
        <w:t xml:space="preserve">Figure </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STYLEREF 1 \s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4</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w:t>
      </w:r>
      <w:r>
        <w:rPr>
          <w:rFonts w:ascii="Times New Roman" w:hAnsi="Times New Roman" w:cs="Times New Roman"/>
          <w:b/>
          <w:bCs/>
          <w:color w:val="auto"/>
          <w:sz w:val="22"/>
          <w:szCs w:val="22"/>
        </w:rPr>
        <w:fldChar w:fldCharType="begin"/>
      </w:r>
      <w:r>
        <w:rPr>
          <w:rFonts w:ascii="Times New Roman" w:hAnsi="Times New Roman" w:cs="Times New Roman"/>
          <w:b/>
          <w:bCs/>
          <w:color w:val="auto"/>
          <w:sz w:val="22"/>
          <w:szCs w:val="22"/>
        </w:rPr>
        <w:instrText xml:space="preserve"> SEQ Figure \* ARABIC \s 1 </w:instrText>
      </w:r>
      <w:r>
        <w:rPr>
          <w:rFonts w:ascii="Times New Roman" w:hAnsi="Times New Roman" w:cs="Times New Roman"/>
          <w:b/>
          <w:bCs/>
          <w:color w:val="auto"/>
          <w:sz w:val="22"/>
          <w:szCs w:val="22"/>
        </w:rPr>
        <w:fldChar w:fldCharType="separate"/>
      </w:r>
      <w:r w:rsidR="00DE5BAE">
        <w:rPr>
          <w:rFonts w:ascii="Times New Roman" w:hAnsi="Times New Roman" w:cs="Times New Roman"/>
          <w:b/>
          <w:bCs/>
          <w:noProof/>
          <w:color w:val="auto"/>
          <w:sz w:val="22"/>
          <w:szCs w:val="22"/>
        </w:rPr>
        <w:t>23</w:t>
      </w:r>
      <w:r>
        <w:rPr>
          <w:rFonts w:ascii="Times New Roman" w:hAnsi="Times New Roman" w:cs="Times New Roman"/>
          <w:b/>
          <w:bCs/>
          <w:color w:val="auto"/>
          <w:sz w:val="22"/>
          <w:szCs w:val="22"/>
        </w:rPr>
        <w:fldChar w:fldCharType="end"/>
      </w:r>
      <w:r>
        <w:rPr>
          <w:rFonts w:ascii="Times New Roman" w:hAnsi="Times New Roman" w:cs="Times New Roman"/>
          <w:b/>
          <w:bCs/>
          <w:color w:val="auto"/>
          <w:sz w:val="22"/>
          <w:szCs w:val="22"/>
        </w:rPr>
        <w:t xml:space="preserve"> </w:t>
      </w:r>
      <w:r>
        <w:rPr>
          <w:rFonts w:ascii="Times New Roman" w:hAnsi="Times New Roman" w:cs="Times New Roman"/>
          <w:color w:val="auto"/>
          <w:sz w:val="22"/>
          <w:szCs w:val="22"/>
        </w:rPr>
        <w:t>Betamethasone Non-detected Chromatograph</w:t>
      </w:r>
      <w:bookmarkEnd w:id="218"/>
    </w:p>
    <w:p w:rsidR="003451D7" w:rsidRDefault="003451D7">
      <w:pPr>
        <w:spacing w:line="360" w:lineRule="auto"/>
        <w:jc w:val="both"/>
        <w:rPr>
          <w:rFonts w:ascii="Times New Roman" w:hAnsi="Times New Roman" w:cs="Times New Roman"/>
          <w:sz w:val="24"/>
          <w:szCs w:val="24"/>
        </w:rPr>
      </w:pPr>
    </w:p>
    <w:p w:rsidR="003451D7" w:rsidRDefault="00715CE0">
      <w:pPr>
        <w:pStyle w:val="Caption"/>
        <w:keepNext/>
        <w:jc w:val="center"/>
        <w:rPr>
          <w:rFonts w:ascii="Times New Roman" w:hAnsi="Times New Roman" w:cs="Times New Roman"/>
          <w:b/>
          <w:bCs/>
          <w:i w:val="0"/>
          <w:iCs w:val="0"/>
          <w:color w:val="auto"/>
        </w:rPr>
      </w:pPr>
      <w:bookmarkStart w:id="219" w:name="_Ref202980898"/>
      <w:bookmarkStart w:id="220" w:name="_Toc202990512"/>
      <w:bookmarkStart w:id="221" w:name="_Toc202982181"/>
      <w:bookmarkStart w:id="222" w:name="_Toc204038320"/>
      <w:r>
        <w:rPr>
          <w:rFonts w:ascii="Times New Roman" w:hAnsi="Times New Roman" w:cs="Times New Roman"/>
          <w:b/>
          <w:bCs/>
          <w:i w:val="0"/>
          <w:iCs w:val="0"/>
          <w:color w:val="auto"/>
          <w:sz w:val="22"/>
          <w:szCs w:val="22"/>
        </w:rPr>
        <w:t xml:space="preserve">Table </w:t>
      </w:r>
      <w:r>
        <w:rPr>
          <w:rFonts w:ascii="Times New Roman" w:hAnsi="Times New Roman" w:cs="Times New Roman"/>
          <w:b/>
          <w:bCs/>
          <w:i w:val="0"/>
          <w:iCs w:val="0"/>
          <w:color w:val="auto"/>
          <w:sz w:val="22"/>
          <w:szCs w:val="22"/>
        </w:rPr>
        <w:fldChar w:fldCharType="begin"/>
      </w:r>
      <w:r>
        <w:rPr>
          <w:rFonts w:ascii="Times New Roman" w:hAnsi="Times New Roman" w:cs="Times New Roman"/>
          <w:b/>
          <w:bCs/>
          <w:i w:val="0"/>
          <w:iCs w:val="0"/>
          <w:color w:val="auto"/>
          <w:sz w:val="22"/>
          <w:szCs w:val="22"/>
        </w:rPr>
        <w:instrText xml:space="preserve"> STYLEREF 1 \s </w:instrText>
      </w:r>
      <w:r>
        <w:rPr>
          <w:rFonts w:ascii="Times New Roman" w:hAnsi="Times New Roman" w:cs="Times New Roman"/>
          <w:b/>
          <w:bCs/>
          <w:i w:val="0"/>
          <w:iCs w:val="0"/>
          <w:color w:val="auto"/>
          <w:sz w:val="22"/>
          <w:szCs w:val="22"/>
        </w:rPr>
        <w:fldChar w:fldCharType="separate"/>
      </w:r>
      <w:r w:rsidR="00DE5BAE">
        <w:rPr>
          <w:rFonts w:ascii="Times New Roman" w:hAnsi="Times New Roman" w:cs="Times New Roman"/>
          <w:b/>
          <w:bCs/>
          <w:i w:val="0"/>
          <w:iCs w:val="0"/>
          <w:noProof/>
          <w:color w:val="auto"/>
          <w:sz w:val="22"/>
          <w:szCs w:val="22"/>
        </w:rPr>
        <w:t>4</w:t>
      </w:r>
      <w:r>
        <w:rPr>
          <w:rFonts w:ascii="Times New Roman" w:hAnsi="Times New Roman" w:cs="Times New Roman"/>
          <w:b/>
          <w:bCs/>
          <w:i w:val="0"/>
          <w:iCs w:val="0"/>
          <w:color w:val="auto"/>
          <w:sz w:val="22"/>
          <w:szCs w:val="22"/>
        </w:rPr>
        <w:fldChar w:fldCharType="end"/>
      </w:r>
      <w:r>
        <w:rPr>
          <w:rFonts w:ascii="Times New Roman" w:hAnsi="Times New Roman" w:cs="Times New Roman"/>
          <w:b/>
          <w:bCs/>
          <w:i w:val="0"/>
          <w:iCs w:val="0"/>
          <w:color w:val="auto"/>
          <w:sz w:val="22"/>
          <w:szCs w:val="22"/>
        </w:rPr>
        <w:t>.</w:t>
      </w:r>
      <w:r>
        <w:rPr>
          <w:rFonts w:ascii="Times New Roman" w:hAnsi="Times New Roman" w:cs="Times New Roman"/>
          <w:b/>
          <w:bCs/>
          <w:i w:val="0"/>
          <w:iCs w:val="0"/>
          <w:color w:val="auto"/>
          <w:sz w:val="22"/>
          <w:szCs w:val="22"/>
        </w:rPr>
        <w:fldChar w:fldCharType="begin"/>
      </w:r>
      <w:r>
        <w:rPr>
          <w:rFonts w:ascii="Times New Roman" w:hAnsi="Times New Roman" w:cs="Times New Roman"/>
          <w:b/>
          <w:bCs/>
          <w:i w:val="0"/>
          <w:iCs w:val="0"/>
          <w:color w:val="auto"/>
          <w:sz w:val="22"/>
          <w:szCs w:val="22"/>
        </w:rPr>
        <w:instrText xml:space="preserve"> SEQ Table \* ARABIC \s 1 </w:instrText>
      </w:r>
      <w:r>
        <w:rPr>
          <w:rFonts w:ascii="Times New Roman" w:hAnsi="Times New Roman" w:cs="Times New Roman"/>
          <w:b/>
          <w:bCs/>
          <w:i w:val="0"/>
          <w:iCs w:val="0"/>
          <w:color w:val="auto"/>
          <w:sz w:val="22"/>
          <w:szCs w:val="22"/>
        </w:rPr>
        <w:fldChar w:fldCharType="separate"/>
      </w:r>
      <w:r w:rsidR="00DE5BAE">
        <w:rPr>
          <w:rFonts w:ascii="Times New Roman" w:hAnsi="Times New Roman" w:cs="Times New Roman"/>
          <w:b/>
          <w:bCs/>
          <w:i w:val="0"/>
          <w:iCs w:val="0"/>
          <w:noProof/>
          <w:color w:val="auto"/>
          <w:sz w:val="22"/>
          <w:szCs w:val="22"/>
        </w:rPr>
        <w:t>6</w:t>
      </w:r>
      <w:r>
        <w:rPr>
          <w:rFonts w:ascii="Times New Roman" w:hAnsi="Times New Roman" w:cs="Times New Roman"/>
          <w:b/>
          <w:bCs/>
          <w:i w:val="0"/>
          <w:iCs w:val="0"/>
          <w:color w:val="auto"/>
          <w:sz w:val="22"/>
          <w:szCs w:val="22"/>
        </w:rPr>
        <w:fldChar w:fldCharType="end"/>
      </w:r>
      <w:bookmarkEnd w:id="219"/>
      <w:r>
        <w:rPr>
          <w:rFonts w:ascii="Times New Roman" w:hAnsi="Times New Roman" w:cs="Times New Roman"/>
          <w:b/>
          <w:bCs/>
          <w:i w:val="0"/>
          <w:iCs w:val="0"/>
          <w:color w:val="auto"/>
          <w:sz w:val="22"/>
          <w:szCs w:val="22"/>
        </w:rPr>
        <w:t xml:space="preserve"> </w:t>
      </w:r>
      <w:r>
        <w:rPr>
          <w:rFonts w:ascii="Times New Roman" w:hAnsi="Times New Roman" w:cs="Times New Roman"/>
          <w:i w:val="0"/>
          <w:iCs w:val="0"/>
          <w:color w:val="auto"/>
          <w:sz w:val="22"/>
          <w:szCs w:val="22"/>
        </w:rPr>
        <w:t>Concentration of Steroids in Facewash Samples</w:t>
      </w:r>
      <w:bookmarkEnd w:id="220"/>
      <w:bookmarkEnd w:id="221"/>
      <w:bookmarkEnd w:id="222"/>
    </w:p>
    <w:tbl>
      <w:tblPr>
        <w:tblW w:w="8720" w:type="dxa"/>
        <w:tblLook w:val="04A0" w:firstRow="1" w:lastRow="0" w:firstColumn="1" w:lastColumn="0" w:noHBand="0" w:noVBand="1"/>
      </w:tblPr>
      <w:tblGrid>
        <w:gridCol w:w="1127"/>
        <w:gridCol w:w="3524"/>
        <w:gridCol w:w="2020"/>
        <w:gridCol w:w="2049"/>
      </w:tblGrid>
      <w:tr w:rsidR="003451D7">
        <w:trPr>
          <w:trHeight w:val="300"/>
        </w:trPr>
        <w:tc>
          <w:tcPr>
            <w:tcW w:w="4700" w:type="dxa"/>
            <w:gridSpan w:val="2"/>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Sr. No.</w:t>
            </w:r>
          </w:p>
        </w:tc>
        <w:tc>
          <w:tcPr>
            <w:tcW w:w="2020" w:type="dxa"/>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Betamethasone(%)</w:t>
            </w:r>
          </w:p>
        </w:tc>
        <w:tc>
          <w:tcPr>
            <w:tcW w:w="2000" w:type="dxa"/>
            <w:tcBorders>
              <w:top w:val="single" w:sz="4" w:space="0" w:color="auto"/>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Hydrocortisone(%)</w:t>
            </w:r>
          </w:p>
        </w:tc>
      </w:tr>
      <w:tr w:rsidR="003451D7">
        <w:trPr>
          <w:trHeight w:val="324"/>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1</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324"/>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312"/>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2</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2.4</w:t>
            </w:r>
          </w:p>
        </w:tc>
      </w:tr>
      <w:tr w:rsidR="003451D7">
        <w:trPr>
          <w:trHeight w:val="324"/>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0.09</w:t>
            </w:r>
          </w:p>
        </w:tc>
      </w:tr>
      <w:tr w:rsidR="003451D7">
        <w:trPr>
          <w:trHeight w:val="312"/>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3</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0.9</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324"/>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0.01</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312"/>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4</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324"/>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312"/>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5</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0.6</w:t>
            </w:r>
          </w:p>
        </w:tc>
      </w:tr>
      <w:tr w:rsidR="003451D7">
        <w:trPr>
          <w:trHeight w:val="324"/>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0.08</w:t>
            </w:r>
          </w:p>
        </w:tc>
      </w:tr>
      <w:tr w:rsidR="003451D7">
        <w:trPr>
          <w:trHeight w:val="324"/>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6</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300"/>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7</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0.6</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0.2</w:t>
            </w:r>
          </w:p>
        </w:tc>
      </w:tr>
      <w:tr w:rsidR="003451D7">
        <w:trPr>
          <w:trHeight w:val="300"/>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0.02</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0.08</w:t>
            </w:r>
          </w:p>
        </w:tc>
      </w:tr>
      <w:tr w:rsidR="003451D7">
        <w:trPr>
          <w:trHeight w:val="288"/>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8</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300"/>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288"/>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9</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0.7</w:t>
            </w:r>
          </w:p>
        </w:tc>
      </w:tr>
      <w:tr w:rsidR="003451D7">
        <w:trPr>
          <w:trHeight w:val="300"/>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rPr>
              <w:t>0.01</w:t>
            </w:r>
          </w:p>
        </w:tc>
      </w:tr>
      <w:tr w:rsidR="003451D7">
        <w:trPr>
          <w:trHeight w:val="288"/>
        </w:trPr>
        <w:tc>
          <w:tcPr>
            <w:tcW w:w="1134" w:type="dxa"/>
            <w:vMerge w:val="restart"/>
            <w:tcBorders>
              <w:top w:val="single" w:sz="4" w:space="0" w:color="auto"/>
            </w:tcBorders>
            <w:vAlign w:val="center"/>
          </w:tcPr>
          <w:p w:rsidR="003451D7" w:rsidRDefault="00715CE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FWS 10</w:t>
            </w:r>
          </w:p>
        </w:tc>
        <w:tc>
          <w:tcPr>
            <w:tcW w:w="3566"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202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top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3451D7">
        <w:trPr>
          <w:trHeight w:val="300"/>
        </w:trPr>
        <w:tc>
          <w:tcPr>
            <w:tcW w:w="1134" w:type="dxa"/>
            <w:vMerge/>
            <w:tcBorders>
              <w:bottom w:val="single" w:sz="4" w:space="0" w:color="auto"/>
            </w:tcBorders>
            <w:vAlign w:val="center"/>
          </w:tcPr>
          <w:p w:rsidR="003451D7" w:rsidRDefault="003451D7">
            <w:pPr>
              <w:spacing w:after="0" w:line="240" w:lineRule="auto"/>
              <w:rPr>
                <w:rFonts w:ascii="Times New Roman" w:eastAsia="Times New Roman" w:hAnsi="Times New Roman" w:cs="Times New Roman"/>
                <w:b/>
                <w:bCs/>
                <w:color w:val="000000"/>
              </w:rPr>
            </w:pPr>
          </w:p>
        </w:tc>
        <w:tc>
          <w:tcPr>
            <w:tcW w:w="3566"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c>
          <w:tcPr>
            <w:tcW w:w="202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2000" w:type="dxa"/>
            <w:tcBorders>
              <w:bottom w:val="single" w:sz="4" w:space="0" w:color="auto"/>
            </w:tcBorders>
            <w:vAlign w:val="center"/>
          </w:tcPr>
          <w:p w:rsidR="003451D7" w:rsidRDefault="00715CE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bl>
    <w:p w:rsidR="003451D7" w:rsidRDefault="003451D7">
      <w:pPr>
        <w:spacing w:line="360" w:lineRule="auto"/>
        <w:jc w:val="both"/>
        <w:rPr>
          <w:rFonts w:ascii="Times New Roman" w:hAnsi="Times New Roman" w:cs="Times New Roman"/>
          <w:sz w:val="24"/>
          <w:szCs w:val="24"/>
        </w:rPr>
      </w:pPr>
    </w:p>
    <w:p w:rsidR="003451D7" w:rsidRDefault="00715CE0">
      <w:pPr>
        <w:spacing w:before="240" w:line="360" w:lineRule="auto"/>
        <w:jc w:val="both"/>
        <w:rPr>
          <w:rStyle w:val="Strong"/>
          <w:rFonts w:ascii="Times New Roman" w:eastAsiaTheme="majorEastAsia" w:hAnsi="Times New Roman" w:cs="Times New Roman"/>
          <w:color w:val="0E101A"/>
          <w:sz w:val="24"/>
          <w:szCs w:val="24"/>
        </w:rPr>
      </w:pPr>
      <w:r>
        <w:rPr>
          <w:rStyle w:val="Strong"/>
          <w:rFonts w:ascii="Times New Roman" w:eastAsiaTheme="majorEastAsia" w:hAnsi="Times New Roman" w:cs="Times New Roman"/>
          <w:color w:val="0E101A"/>
          <w:sz w:val="24"/>
          <w:szCs w:val="24"/>
        </w:rPr>
        <w:t>Cosmetics and the Environment</w:t>
      </w:r>
    </w:p>
    <w:p w:rsidR="003451D7" w:rsidRPr="00390B9C" w:rsidRDefault="00715CE0" w:rsidP="00390B9C">
      <w:pPr>
        <w:spacing w:before="240"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The third research objective of this section is: What is the effect of cosmetic products to the environment? A number of cosmetic products have different chemicals incorporated that include additives, fragrances, preservatives, stabilizers, surfactants, dyes and shine enhancers that are used by people all over the world. Consequently, various ways are usually used to dispose of such chemicals into the environment (Bilal et al., 2020</w:t>
      </w:r>
      <w:r>
        <w:t xml:space="preserve">). </w:t>
      </w:r>
      <w:r>
        <w:rPr>
          <w:rFonts w:ascii="Times New Roman" w:eastAsia="Times New Roman" w:hAnsi="Times New Roman" w:cs="Times New Roman"/>
          <w:color w:val="0E101A"/>
          <w:sz w:val="24"/>
          <w:szCs w:val="24"/>
        </w:rPr>
        <w:t xml:space="preserve">Despite ongoing efforts to address environmental pollution, the significant impact of cosmetics is often overlooked. The presence of hazardous substances of cosmetic products in water can occur in numerous ways, such as direct discharge of the product in the sewage system, poor disposal of cosmetic items and direct dumping of the cosmetic container in the oceans and rivers especially in highly populated regions (Chen &amp; Li et al., 2022). Such chemical pollutants may exceed the natural carrying capacity of the environment, resulting to extensive damage in the aquatic and human health. To address these issues, certain governments already took such measures as either limiting or prohibiting the use of plastic packaging in cosmetics to reduce their environmental impact (Chen &amp; Li et al., 2022). Moreover, heavy metal mercury, commonly used in illicit cosmetic products, is known to go </w:t>
      </w:r>
      <w:r>
        <w:rPr>
          <w:rFonts w:ascii="Times New Roman" w:eastAsia="Times New Roman" w:hAnsi="Times New Roman" w:cs="Times New Roman"/>
          <w:color w:val="0E101A"/>
          <w:sz w:val="24"/>
          <w:szCs w:val="24"/>
        </w:rPr>
        <w:lastRenderedPageBreak/>
        <w:t xml:space="preserve">through methylation reactions when it is released into wastewaters, to generate methylmercury. This very toxic substance is easily </w:t>
      </w:r>
      <w:r w:rsidR="00257945">
        <w:rPr>
          <w:rFonts w:ascii="Times New Roman" w:eastAsia="Times New Roman" w:hAnsi="Times New Roman" w:cs="Times New Roman"/>
          <w:color w:val="0E101A"/>
          <w:sz w:val="24"/>
          <w:szCs w:val="24"/>
        </w:rPr>
        <w:t>bio accumulated</w:t>
      </w:r>
      <w:r>
        <w:rPr>
          <w:rFonts w:ascii="Times New Roman" w:eastAsia="Times New Roman" w:hAnsi="Times New Roman" w:cs="Times New Roman"/>
          <w:color w:val="0E101A"/>
          <w:sz w:val="24"/>
          <w:szCs w:val="24"/>
        </w:rPr>
        <w:t xml:space="preserve"> in the food chain and it is a serious hazard to aquatic life and thus to human health, especially to pregnant women and unborn babies (Khan et al., 2021). In addition to heavy metals, other cosmetic constituents that end up in the environment, including micro plastics (plastic microbeads), parabens, and phthalates, have the same problem and impact the environment, marine life, endocrine systems of wildlife, and the ecosystem in general (Basha et al., 2020).</w:t>
      </w:r>
    </w:p>
    <w:p w:rsidR="003451D7" w:rsidRDefault="00715CE0">
      <w:pPr>
        <w:pStyle w:val="Heading2"/>
        <w:rPr>
          <w:rFonts w:cs="Times New Roman"/>
        </w:rPr>
      </w:pPr>
      <w:bookmarkStart w:id="223" w:name="_Toc202982427"/>
      <w:bookmarkStart w:id="224" w:name="_Toc202990496"/>
      <w:bookmarkStart w:id="225" w:name="_Toc208820431"/>
      <w:r>
        <w:rPr>
          <w:rFonts w:cs="Times New Roman"/>
        </w:rPr>
        <w:t>Regulatory meas</w:t>
      </w:r>
      <w:bookmarkEnd w:id="223"/>
      <w:bookmarkEnd w:id="224"/>
      <w:r>
        <w:rPr>
          <w:rFonts w:cs="Times New Roman"/>
        </w:rPr>
        <w:t>ures of cosmetics in Pakistan</w:t>
      </w:r>
      <w:bookmarkEnd w:id="225"/>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study of heavy metal levels, health implications, environmental effects, and consumer knowledge in cosmetics based on the extensive results has shown that a multi-pronged strategy involving the manufacturers, regulating agencies, and consumers is necessary to aid in increasing the safety and health of the people and the environment.</w:t>
      </w:r>
    </w:p>
    <w:p w:rsidR="003451D7" w:rsidRDefault="00715CE0">
      <w:pPr>
        <w:pStyle w:val="Heading3"/>
        <w:rPr>
          <w:rFonts w:cs="Times New Roman"/>
        </w:rPr>
      </w:pPr>
      <w:bookmarkStart w:id="226" w:name="_Toc202982429"/>
      <w:bookmarkStart w:id="227" w:name="_Toc208820432"/>
      <w:bookmarkStart w:id="228" w:name="_Toc202990498"/>
      <w:r>
        <w:rPr>
          <w:rFonts w:cs="Times New Roman"/>
        </w:rPr>
        <w:t>Regulatory bodies in Pakistan</w:t>
      </w:r>
      <w:bookmarkEnd w:id="226"/>
      <w:bookmarkEnd w:id="227"/>
      <w:bookmarkEnd w:id="228"/>
    </w:p>
    <w:p w:rsidR="003451D7" w:rsidRDefault="00715CE0">
      <w:pPr>
        <w:spacing w:line="360" w:lineRule="auto"/>
        <w:rPr>
          <w:rFonts w:ascii="Times New Roman" w:hAnsi="Times New Roman" w:cs="Times New Roman"/>
          <w:sz w:val="24"/>
          <w:szCs w:val="24"/>
        </w:rPr>
      </w:pPr>
      <w:r>
        <w:rPr>
          <w:rFonts w:ascii="Times New Roman" w:hAnsi="Times New Roman" w:cs="Times New Roman"/>
          <w:sz w:val="24"/>
          <w:szCs w:val="24"/>
        </w:rPr>
        <w:t>The compliance of regulatory standards regarding heavy metals in cosmetics plays a vital role in safeguarding the health of the population because these chemicals have various harmful effects (Kader Mohiuddin et al., 2019). There should be a regulation and strict enactment of a detailed list of allowable content of heavy metals and other toxic components in cosmetics in line with international best practices and ideally, improved over them, such as the EU (Ababneh &amp; Al-Momani et al., 2018; Borowska &amp; Brzoska et al., 2015). The Pakistan Standards and Quality Control Authority (PSQCA) has been traditionally an important authority in Pakistan to check the safety and quality of cosmetic products. Regarding the standards and regulations concerning cosmetic production, no particular rules, which must be applied by manufacturers, are present at the moment. Nonetheless, the recent formation of the Pakistan General Cosmetics Regulatory Authority (PGCRA) in 2023 demonstrates an increasing awareness of the necessity of a closer regulation of the cosmetics industry in the state (Dawn et al., 2023). It is probably a reaction to the persistent doubts regarding the presence of harmful elements in cosmetics and reflects the attitude to the fact that the existing regulatory framework is not very effective in this case. Nevertheless, the fact that there are still prohibited ingredients in the products available in the market demonstrates that enforcement and monitoring of these ingredients remains a problem.</w:t>
      </w:r>
    </w:p>
    <w:p w:rsidR="003451D7" w:rsidRDefault="00715CE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Pakistan must adopt the most reliable regulatory model that of Cosmetic Europe with some changes to conform to the regulations of the country with immediate effect. This association signifies the European cosmetic sector and has developed new guidelines and principles to improve the process of reporting serious adverse effects of using personal-care cosmetic products to the concerned authorities (Khan et al., 2021).</w:t>
      </w:r>
    </w:p>
    <w:p w:rsidR="003451D7" w:rsidRDefault="00715CE0">
      <w:pPr>
        <w:spacing w:line="240" w:lineRule="auto"/>
        <w:rPr>
          <w:rFonts w:ascii="Times New Roman" w:hAnsi="Times New Roman" w:cs="Times New Roman"/>
          <w:sz w:val="14"/>
          <w:szCs w:val="14"/>
        </w:rPr>
      </w:pPr>
      <w:r>
        <w:rPr>
          <w:rFonts w:ascii="Times New Roman" w:hAnsi="Times New Roman" w:cs="Times New Roman"/>
          <w:sz w:val="14"/>
          <w:szCs w:val="14"/>
        </w:rPr>
        <w:br w:type="page"/>
      </w:r>
    </w:p>
    <w:p w:rsidR="003451D7" w:rsidRDefault="00715CE0">
      <w:pPr>
        <w:jc w:val="right"/>
        <w:rPr>
          <w:rFonts w:ascii="Times New Roman" w:hAnsi="Times New Roman" w:cs="Times New Roman"/>
          <w:bCs/>
          <w:szCs w:val="32"/>
        </w:rPr>
      </w:pPr>
      <w:r>
        <w:rPr>
          <w:rFonts w:ascii="Times New Roman" w:hAnsi="Times New Roman" w:cs="Times New Roman"/>
          <w:b/>
          <w:bCs/>
          <w:sz w:val="32"/>
          <w:szCs w:val="32"/>
        </w:rPr>
        <w:lastRenderedPageBreak/>
        <w:t>Chapter 5</w:t>
      </w:r>
    </w:p>
    <w:p w:rsidR="003451D7" w:rsidRDefault="00715CE0">
      <w:pPr>
        <w:pStyle w:val="Heading1"/>
        <w:rPr>
          <w:rFonts w:cs="Times New Roman"/>
        </w:rPr>
      </w:pPr>
      <w:bookmarkStart w:id="229" w:name="_Toc202982431"/>
      <w:bookmarkStart w:id="230" w:name="_Toc208820433"/>
      <w:bookmarkStart w:id="231" w:name="_Toc202990500"/>
      <w:r>
        <w:rPr>
          <w:rFonts w:cs="Times New Roman"/>
        </w:rPr>
        <w:t>Discussion and Recommendation</w:t>
      </w:r>
      <w:bookmarkEnd w:id="229"/>
      <w:bookmarkEnd w:id="230"/>
      <w:bookmarkEnd w:id="231"/>
    </w:p>
    <w:p w:rsidR="003451D7" w:rsidRDefault="00715CE0">
      <w:pPr>
        <w:pStyle w:val="Heading2"/>
        <w:rPr>
          <w:rFonts w:cs="Times New Roman"/>
        </w:rPr>
      </w:pPr>
      <w:bookmarkStart w:id="232" w:name="_Toc202982432"/>
      <w:bookmarkStart w:id="233" w:name="_Toc208820434"/>
      <w:bookmarkStart w:id="234" w:name="_Toc202990501"/>
      <w:r>
        <w:rPr>
          <w:rFonts w:cs="Times New Roman"/>
        </w:rPr>
        <w:t>Discussion and Recommendations</w:t>
      </w:r>
      <w:bookmarkEnd w:id="232"/>
      <w:bookmarkEnd w:id="233"/>
      <w:bookmarkEnd w:id="234"/>
    </w:p>
    <w:p w:rsidR="003451D7" w:rsidRDefault="00715CE0">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Consumer survey findings in this research indicated that face wash is mostly consumed by young educated females (71 percent female; 46.5 percent aged 18-24; 43 percent aged 25-34; 94 percent have a university degree or higher). Regardless of this high exposure, 55.5 percent of them did not know that heavy metals or steroids were present in FW, and 43.5 percent did not always pay attention to the ingredient lists. A huge proportion of 79 percent saw the reason behind the existence of harmful substances as the absence of proper regulation in Pakistan. Alarmingly, 65.5 percent of them did not know about the long-term health consequences, but 18 percent said they experienced skin thinning, 15 percent said they felt irritation (including itching and burning), and 7.5 percent said their skin had darkened. Findings of the study on face wash samples confirm what is already available in literature about the risk of cosmetic products and their exposure to consumers and regulatory weaknesses. Chronic dermal exposure to contaminants could be demonstrated to occur consistently through the frequent use of face washes, especially by women (Bilal et al., 2020). </w:t>
      </w:r>
      <w:r w:rsidRPr="003A48B7">
        <w:rPr>
          <w:rFonts w:ascii="Times New Roman" w:hAnsi="Times New Roman" w:cs="Times New Roman"/>
          <w:sz w:val="24"/>
          <w:szCs w:val="24"/>
        </w:rPr>
        <w:t>This highlights the importance of the evaluation of Chronic Daily Intake (CDI) and Hazard Quotient (HQ) to comprehend long-term health effects, which is justified by the research on heavy metal contamination in cosmetics</w:t>
      </w:r>
      <w:r>
        <w:rPr>
          <w:rFonts w:ascii="Times New Roman" w:hAnsi="Times New Roman" w:cs="Times New Roman"/>
          <w:sz w:val="24"/>
          <w:szCs w:val="24"/>
        </w:rPr>
        <w:t xml:space="preserve"> (Alam et al., 2019; Ullah et al., 2017). There is a significant difference between the awareness of consumers and the perceived level of control by regulators, a theme that has been consistent across the literature related to the product safety and the availability of information. Ignorance of the consumer is among the reasons due to the lack of uniformity of the regulations on the subject of heavy metals in cosmetics, as it takes place in Nigeria (Yebpella et al., 2014) and Jordan (Ababneh &amp; Al-Momani et al., 2018).</w:t>
      </w:r>
    </w:p>
    <w:p w:rsidR="003451D7" w:rsidRDefault="00715CE0">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It is of serious health concern that face wash products contain some of the heavy metals which include cadmium, chromium, nickel, lead, and copper. Cadmium has the possibility to accumulate in the body and it is a carcinogen that causes issues within the kidney and the bones and increases the occurrence of cancer in humans (Borowska &amp; Brzoska et al., 2015). Chromium, espe</w:t>
      </w:r>
      <w:r w:rsidR="005E188D">
        <w:rPr>
          <w:rFonts w:ascii="Times New Roman" w:hAnsi="Times New Roman" w:cs="Times New Roman"/>
          <w:sz w:val="24"/>
          <w:szCs w:val="24"/>
        </w:rPr>
        <w:t>cially the hexavalent type (Cr-VI</w:t>
      </w:r>
      <w:r>
        <w:rPr>
          <w:rFonts w:ascii="Times New Roman" w:hAnsi="Times New Roman" w:cs="Times New Roman"/>
          <w:sz w:val="24"/>
          <w:szCs w:val="24"/>
        </w:rPr>
        <w:t xml:space="preserve">), is very poisonous, carcinogenic, and a strong allergic agent, which can cause allergies of contact dermatitis (Adam-Dima et al., 2024; Borowska &amp; Brzoska et al., 2015; </w:t>
      </w:r>
      <w:r>
        <w:rPr>
          <w:rFonts w:ascii="Times New Roman" w:hAnsi="Times New Roman" w:cs="Times New Roman"/>
          <w:sz w:val="24"/>
          <w:szCs w:val="24"/>
        </w:rPr>
        <w:lastRenderedPageBreak/>
        <w:t>(USEPA et al., 1989). Such allergens as nickel may cause itching, redness, and blistering even in small doses (Borowska &amp; Brzóska et al., 2015; Michalek et al., 2019). Lead is a strong neurotoxicant that has no safe exposure amount; thus, it can harm several organ systems by dermal absorption and hand-to-mouth transfer (Borowska &amp; Brzoska et al., 2015; Munir et al., 2020). Although copper is necessary, its excess introduction causes toxicity (Borowska &amp; Brzoska et al., 2015). This detection of these metals, even in their impurity, proves the necessity of new standards and the education of consumers, particularly because of the risk of contact dermatitis and systemic toxicity (Adam-Dima et al., 2024; Rasheed et al., 2023; Ullah et al., 2017).</w:t>
      </w:r>
    </w:p>
    <w:p w:rsidR="003451D7" w:rsidRDefault="00715CE0" w:rsidP="005E188D">
      <w:pPr>
        <w:spacing w:before="240" w:after="0" w:line="360" w:lineRule="auto"/>
        <w:jc w:val="both"/>
        <w:rPr>
          <w:rFonts w:ascii="Times New Roman" w:hAnsi="Times New Roman" w:cs="Times New Roman"/>
          <w:sz w:val="24"/>
          <w:szCs w:val="24"/>
        </w:rPr>
      </w:pPr>
      <w:r w:rsidRPr="006F0CD9">
        <w:rPr>
          <w:rFonts w:ascii="Times New Roman" w:hAnsi="Times New Roman" w:cs="Times New Roman"/>
          <w:sz w:val="24"/>
          <w:szCs w:val="24"/>
        </w:rPr>
        <w:t>The results of face wash products analysis showed the alarming rates of heavy metal contamination and the lack of declaration of corticosteroids inclusion. An example is cadmium that was found in 7 samples and the maximum was 1.06 ppm (FWS-10) which was above the EU and WHO standards. The lead was found in 8 samples with FWS 3 having a concentration of 1.26 ppm, which was also above the EU and WHO standards. Seven samples had a chromium concentration (maximum 0.93 ppm in FWS-10), and 6 samples a nickel concentration (maximum 0.68 ppm in FWS-7</w:t>
      </w:r>
      <w:r w:rsidRPr="00390B9C">
        <w:rPr>
          <w:rFonts w:ascii="Times New Roman" w:hAnsi="Times New Roman" w:cs="Times New Roman"/>
          <w:sz w:val="24"/>
          <w:szCs w:val="24"/>
        </w:rPr>
        <w:t xml:space="preserve">). </w:t>
      </w:r>
      <w:r w:rsidR="003A48B7" w:rsidRPr="00390B9C">
        <w:rPr>
          <w:rFonts w:ascii="Times New Roman" w:hAnsi="Times New Roman" w:cs="Times New Roman"/>
          <w:sz w:val="24"/>
          <w:szCs w:val="24"/>
        </w:rPr>
        <w:t xml:space="preserve">The study calculated Chronic Daily Intake (CDI) and Hazard Quotient (HQ) values using established reference doses (RfDderm) provided by USEPA. </w:t>
      </w:r>
      <w:r w:rsidRPr="00390B9C">
        <w:rPr>
          <w:rFonts w:ascii="Times New Roman" w:hAnsi="Times New Roman" w:cs="Times New Roman"/>
          <w:sz w:val="24"/>
          <w:szCs w:val="24"/>
        </w:rPr>
        <w:t xml:space="preserve">HQ values of all the samples were below </w:t>
      </w:r>
      <w:r w:rsidR="00E7217D" w:rsidRPr="00390B9C">
        <w:rPr>
          <w:rFonts w:ascii="Times New Roman" w:hAnsi="Times New Roman" w:cs="Times New Roman"/>
          <w:sz w:val="24"/>
          <w:szCs w:val="24"/>
        </w:rPr>
        <w:t>1, which means that there was low</w:t>
      </w:r>
      <w:r w:rsidRPr="00390B9C">
        <w:rPr>
          <w:rFonts w:ascii="Times New Roman" w:hAnsi="Times New Roman" w:cs="Times New Roman"/>
          <w:sz w:val="24"/>
          <w:szCs w:val="24"/>
        </w:rPr>
        <w:t xml:space="preserve"> ha</w:t>
      </w:r>
      <w:r w:rsidR="00877EB0" w:rsidRPr="00390B9C">
        <w:rPr>
          <w:rFonts w:ascii="Times New Roman" w:hAnsi="Times New Roman" w:cs="Times New Roman"/>
          <w:sz w:val="24"/>
          <w:szCs w:val="24"/>
        </w:rPr>
        <w:t xml:space="preserve">rmful effect of using face wash. </w:t>
      </w:r>
      <w:r w:rsidRPr="00390B9C">
        <w:rPr>
          <w:rFonts w:ascii="Times New Roman" w:hAnsi="Times New Roman" w:cs="Times New Roman"/>
          <w:sz w:val="24"/>
          <w:szCs w:val="24"/>
        </w:rPr>
        <w:t xml:space="preserve">Although the values of Hazard Quotient (HQ) of these metals were less than 1 (e.g. the highest HQ of Pb was 2.87x10-1) and indicated that the non-carcinogenic risk of individual metals under the assumed exposure is acceptable, the co-occurrence of various heavy metals in the samples (e.g. FWS 1 contained alarming concentrations of all tested heavy metals) brings up the issue of cumulative and synergistic </w:t>
      </w:r>
      <w:r w:rsidR="00E7217D" w:rsidRPr="00390B9C">
        <w:rPr>
          <w:rFonts w:ascii="Times New Roman" w:hAnsi="Times New Roman" w:cs="Times New Roman"/>
          <w:sz w:val="24"/>
          <w:szCs w:val="24"/>
        </w:rPr>
        <w:t xml:space="preserve">toxicity. </w:t>
      </w:r>
      <w:r w:rsidRPr="00390B9C">
        <w:rPr>
          <w:rFonts w:ascii="Times New Roman" w:hAnsi="Times New Roman" w:cs="Times New Roman"/>
          <w:sz w:val="24"/>
          <w:szCs w:val="24"/>
        </w:rPr>
        <w:t>Moreover, 20 percent of samples (FWS3, FWS7) had betamethasone (0.6-0.9</w:t>
      </w:r>
      <w:r w:rsidR="005E188D" w:rsidRPr="00390B9C">
        <w:rPr>
          <w:rFonts w:ascii="Times New Roman" w:hAnsi="Times New Roman" w:cs="Times New Roman"/>
          <w:sz w:val="24"/>
          <w:szCs w:val="24"/>
        </w:rPr>
        <w:t>%</w:t>
      </w:r>
      <w:r w:rsidRPr="00390B9C">
        <w:rPr>
          <w:rFonts w:ascii="Times New Roman" w:hAnsi="Times New Roman" w:cs="Times New Roman"/>
          <w:sz w:val="24"/>
          <w:szCs w:val="24"/>
        </w:rPr>
        <w:t>), and 40 percent (FWS2, FWS5, FWS7, FWS9) had hydrocortisone (0.2-2.4</w:t>
      </w:r>
      <w:r w:rsidR="005E188D" w:rsidRPr="00390B9C">
        <w:rPr>
          <w:rFonts w:ascii="Times New Roman" w:hAnsi="Times New Roman" w:cs="Times New Roman"/>
          <w:sz w:val="24"/>
          <w:szCs w:val="24"/>
        </w:rPr>
        <w:t>%</w:t>
      </w:r>
      <w:r w:rsidRPr="00390B9C">
        <w:rPr>
          <w:rFonts w:ascii="Times New Roman" w:hAnsi="Times New Roman" w:cs="Times New Roman"/>
          <w:sz w:val="24"/>
          <w:szCs w:val="24"/>
        </w:rPr>
        <w:t xml:space="preserve">), and FWS7 had both. </w:t>
      </w:r>
      <w:r w:rsidR="00FD67CB" w:rsidRPr="00390B9C">
        <w:rPr>
          <w:rFonts w:ascii="Times New Roman" w:hAnsi="Times New Roman" w:cs="Times New Roman"/>
          <w:sz w:val="24"/>
          <w:szCs w:val="24"/>
        </w:rPr>
        <w:t>These unlabeled steroids, although</w:t>
      </w:r>
      <w:r w:rsidRPr="00390B9C">
        <w:rPr>
          <w:rFonts w:ascii="Times New Roman" w:hAnsi="Times New Roman" w:cs="Times New Roman"/>
          <w:sz w:val="24"/>
          <w:szCs w:val="24"/>
        </w:rPr>
        <w:t xml:space="preserve"> prohibited in cosmetics, have been linked to extreme dermatological and systemic side effects, which include indefinite deflation of the skin, steroid rosacea, and perioral dermatitis (Gimeno et al., 2016; Nam et al., 2012).</w:t>
      </w:r>
      <w:r w:rsidRPr="006F0CD9">
        <w:rPr>
          <w:rFonts w:ascii="Times New Roman" w:hAnsi="Times New Roman" w:cs="Times New Roman"/>
          <w:sz w:val="24"/>
          <w:szCs w:val="24"/>
        </w:rPr>
        <w:t xml:space="preserve"> The extensive contamination with heavy metals as well as with powerful corticosteroids requires strict quality control of the production and stronger regulatory systems to safeguard the health of the population.</w:t>
      </w:r>
    </w:p>
    <w:p w:rsidR="000F486F" w:rsidRPr="000F486F" w:rsidRDefault="00715CE0" w:rsidP="000F486F">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chemical contaminants, physicochemical characteristics such as pH play a significant role in the safety and the stability of the product (Dhanirama et al., 2012; Salve et al., </w:t>
      </w:r>
      <w:r>
        <w:rPr>
          <w:rFonts w:ascii="Times New Roman" w:hAnsi="Times New Roman" w:cs="Times New Roman"/>
          <w:sz w:val="24"/>
          <w:szCs w:val="24"/>
        </w:rPr>
        <w:lastRenderedPageBreak/>
        <w:t>2015). Optimal pH may be jeopardized by product deviations and lead to increased dermal sensitivities of ingredients. Likewise, active ingredients will be degraded, viscosity changed, and microbial growth favored by temperature variations during storage, and this will influence the efficacy of the product and its safety (Dhanirama et al., 2012; Salve et al., 2015). Good manufacturing practices are essential in ensuring that the risk of contamination is kept at a minimum during the whole production process (Kader Mohiuddin et al., 2019). Moreover, the manufacturers are encouraged to actively inspect and remodel their products either by removing the ingredients that are more likely to have heavy metal impurities or by minimizing the use of potentially harmful substances, instead, focusing on safer, biodegradable, and sustainably sourced ones (Borowska &amp; Brzoska et al., 2015; Chen &amp; Li et al., 2021). Improved transparency with the help of clear and detailed product labelling, possible impurities and source would also enable consumers to make informed decisions (Saadatzadeh et al., 2019). It is also worth working on being environmentally sustainable in manufacturing and creating an environmentally friendly packaging (Chen &amp; Li et al., 2021). The pressure can also be exerted on the manufacturers by the consumers as they demand an even higher level of transparency and safer formulas to improve the quality of the products. All these findings portray that there is presently a dire need to have a superior regulatory system, excellent labeling and awareness among consumers to minimize the risk on health owing to adulterated cosmetic products.</w:t>
      </w:r>
      <w:r w:rsidR="000F486F">
        <w:rPr>
          <w:rFonts w:ascii="Times New Roman" w:hAnsi="Times New Roman" w:cs="Times New Roman"/>
          <w:sz w:val="24"/>
          <w:szCs w:val="24"/>
        </w:rPr>
        <w:t xml:space="preserve"> </w:t>
      </w:r>
      <w:r w:rsidR="000F486F" w:rsidRPr="00390B9C">
        <w:rPr>
          <w:rFonts w:ascii="Times New Roman" w:hAnsi="Times New Roman" w:cs="Times New Roman"/>
          <w:sz w:val="24"/>
          <w:szCs w:val="24"/>
        </w:rPr>
        <w:t>Regulatory authorities such as the Drug Regulatory Authority of Pakistan (DRAP) and the Pakistan Standards and Quality Control Authority (PSQCA) should establish a comprehensive countrywide surveillance mechanism for maintaining the quality of the pharmaceuticals. These regulatory bodies should enforce their laws with regard to strict penalties, including huge fines, recall of products, cancellation of manufacturing license, and prosecution of non-compliance. Ensuring that there is mandatory, accurate, and complete ingredient labeling of all cosmetic products is also important. Products containing substances that may be harmful, even within legal limits, should display clear warning labels specifying all potential side effects. Furthermore, cooperation among government agencies, including health departments, customs, and trade ministries, is essential to prevent the illicit import and sale of toxic cosmetic products.</w:t>
      </w:r>
    </w:p>
    <w:p w:rsidR="003451D7" w:rsidRDefault="003451D7">
      <w:pPr>
        <w:spacing w:before="240" w:line="360" w:lineRule="auto"/>
        <w:jc w:val="both"/>
        <w:rPr>
          <w:rFonts w:ascii="Times New Roman" w:hAnsi="Times New Roman" w:cs="Times New Roman"/>
          <w:sz w:val="24"/>
          <w:szCs w:val="24"/>
        </w:rPr>
      </w:pP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3451D7" w:rsidRDefault="00715CE0">
      <w:pPr>
        <w:jc w:val="right"/>
        <w:rPr>
          <w:rFonts w:ascii="Times New Roman" w:hAnsi="Times New Roman" w:cs="Times New Roman"/>
          <w:bCs/>
          <w:szCs w:val="32"/>
        </w:rPr>
      </w:pPr>
      <w:r>
        <w:rPr>
          <w:rFonts w:ascii="Times New Roman" w:hAnsi="Times New Roman" w:cs="Times New Roman"/>
          <w:b/>
          <w:bCs/>
          <w:sz w:val="32"/>
          <w:szCs w:val="32"/>
        </w:rPr>
        <w:lastRenderedPageBreak/>
        <w:t>Chapter 6</w:t>
      </w:r>
    </w:p>
    <w:p w:rsidR="003451D7" w:rsidRDefault="00715CE0">
      <w:pPr>
        <w:pStyle w:val="Heading1"/>
        <w:rPr>
          <w:rFonts w:cs="Times New Roman"/>
        </w:rPr>
      </w:pPr>
      <w:bookmarkStart w:id="235" w:name="_Toc202982434"/>
      <w:bookmarkStart w:id="236" w:name="_Toc202990503"/>
      <w:bookmarkStart w:id="237" w:name="_Toc208820435"/>
      <w:r>
        <w:rPr>
          <w:rFonts w:cs="Times New Roman"/>
        </w:rPr>
        <w:t>Conclusion</w:t>
      </w:r>
      <w:bookmarkEnd w:id="235"/>
      <w:bookmarkEnd w:id="236"/>
      <w:bookmarkEnd w:id="237"/>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This research concluded that some face wash products marketed in Pakistan are contaminated with heavy metals and this study was carried out on the basis of products safety, well-being of the people and the environment. The study measured the concentrations of the five most significant heavy metals i.e. Cadmium, Chromium, Nickel, Lead, and Copper and revealed that these metals are widely present in the products. The levels of Cadmium and Lead were above the international regulatory standards indicating a quality control problem in the local industry. The human health risk assessment showed that there was a consistent pattern of dermal exposure to these metals during the use of face wash every day; nevertheless, the HQ ana</w:t>
      </w:r>
      <w:r w:rsidR="00656907">
        <w:rPr>
          <w:rFonts w:ascii="Times New Roman" w:hAnsi="Times New Roman" w:cs="Times New Roman"/>
          <w:sz w:val="24"/>
          <w:szCs w:val="24"/>
        </w:rPr>
        <w:t xml:space="preserve">lysis showed that long term exposure </w:t>
      </w:r>
      <w:r>
        <w:rPr>
          <w:rFonts w:ascii="Times New Roman" w:hAnsi="Times New Roman" w:cs="Times New Roman"/>
          <w:sz w:val="24"/>
          <w:szCs w:val="24"/>
        </w:rPr>
        <w:t>does not cause a significant risk of non-carcinogenic health risk. It was also mentioned in the study that the environmental effect of the production and disposal of these products is how they may be contaminated in the raw material or the manufacturing stage or when released to the domestic waste water system. The research also showed that the population has a lack of information about the harmful substances in cosmetics, which is why specific interventions will be required. The recommendations are to have a tighter quality control, make it sustainable, and have transparency on the ingredients.</w:t>
      </w:r>
    </w:p>
    <w:p w:rsidR="003451D7" w:rsidRDefault="00715CE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3451D7" w:rsidRDefault="00715CE0">
      <w:pPr>
        <w:spacing w:before="240" w:line="276" w:lineRule="auto"/>
        <w:jc w:val="both"/>
        <w:rPr>
          <w:rFonts w:ascii="Times New Roman" w:hAnsi="Times New Roman" w:cs="Times New Roman"/>
          <w:b/>
          <w:bCs/>
          <w:sz w:val="32"/>
          <w:szCs w:val="32"/>
        </w:rPr>
      </w:pPr>
      <w:r>
        <w:rPr>
          <w:rFonts w:ascii="Times New Roman" w:hAnsi="Times New Roman" w:cs="Times New Roman"/>
          <w:b/>
          <w:bCs/>
          <w:sz w:val="32"/>
          <w:szCs w:val="32"/>
        </w:rPr>
        <w:lastRenderedPageBreak/>
        <w:t>References:</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Ababneh, F. A., &amp; Al-Momani, I. F. (2018). Assessments of toxic heavy metals contamination in cosmetic products. </w:t>
      </w:r>
      <w:r>
        <w:rPr>
          <w:rFonts w:ascii="Times New Roman" w:eastAsia="Times New Roman" w:hAnsi="Times New Roman" w:cs="Times New Roman"/>
          <w:i/>
          <w:iCs/>
          <w:color w:val="000000"/>
          <w:sz w:val="24"/>
          <w:szCs w:val="24"/>
        </w:rPr>
        <w:t>Environmental Forensics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19</w:t>
      </w:r>
      <w:r>
        <w:rPr>
          <w:rFonts w:ascii="Times New Roman" w:eastAsia="Times New Roman" w:hAnsi="Times New Roman" w:cs="Times New Roman"/>
          <w:color w:val="000000"/>
          <w:sz w:val="24"/>
          <w:szCs w:val="24"/>
        </w:rPr>
        <w:t xml:space="preserve">(2), 134–142.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Adam-Dima, I., Olteanu, A. A., Nițulescu, G., Cristea, S., Guțu, C. M., &amp; Purdel, C. (2024). </w:t>
      </w:r>
      <w:r>
        <w:rPr>
          <w:rFonts w:ascii="Times New Roman" w:eastAsia="Times New Roman" w:hAnsi="Times New Roman" w:cs="Times New Roman"/>
          <w:i/>
          <w:iCs/>
          <w:color w:val="000000"/>
          <w:sz w:val="24"/>
          <w:szCs w:val="24"/>
        </w:rPr>
        <w:t>NICKEL AND CHROMIUM IN COSMETIC PRODUCTS: FROM LABORATORY TO REGULATION AND POSSIBLE HEALTH RISKS. Farmacia, 72(6), 1273–1282.</w:t>
      </w:r>
      <w:r>
        <w:rPr>
          <w:rFonts w:ascii="Times New Roman" w:eastAsia="Times New Roman" w:hAnsi="Times New Roman" w:cs="Times New Roman"/>
          <w:color w:val="000000"/>
          <w:sz w:val="24"/>
          <w:szCs w:val="24"/>
        </w:rPr>
        <w:t xml:space="preserve">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Agency for Toxic Substances and Disease Registry. (2004). </w:t>
      </w:r>
      <w:r>
        <w:rPr>
          <w:rFonts w:ascii="Times New Roman" w:eastAsia="Times New Roman" w:hAnsi="Times New Roman" w:cs="Times New Roman"/>
          <w:i/>
          <w:iCs/>
          <w:color w:val="000000"/>
          <w:sz w:val="24"/>
          <w:szCs w:val="24"/>
        </w:rPr>
        <w:t>Toxicological Profile for Copper</w:t>
      </w:r>
      <w:r>
        <w:rPr>
          <w:rFonts w:ascii="Times New Roman" w:eastAsia="Times New Roman" w:hAnsi="Times New Roman" w:cs="Times New Roman"/>
          <w:color w:val="000000"/>
          <w:sz w:val="24"/>
          <w:szCs w:val="24"/>
        </w:rPr>
        <w:t>.</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Alam, M. F., Akhter, M., Mazumder, B., Ferdous, A., Hossain, M. D., Dafader, N. C., Ahmed, F. T., Kundu, S. K., Taheri, T., &amp; Atique Ullah, A. K. M. (2019). Assessment of some heavy metals in selected cosmetics commonly used in Bangladesh and human health risk. </w:t>
      </w:r>
      <w:r>
        <w:rPr>
          <w:rFonts w:ascii="Times New Roman" w:eastAsia="Times New Roman" w:hAnsi="Times New Roman" w:cs="Times New Roman"/>
          <w:i/>
          <w:iCs/>
          <w:color w:val="000000"/>
          <w:sz w:val="24"/>
          <w:szCs w:val="24"/>
        </w:rPr>
        <w:t>Journal of Analytical Science and Technology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10</w:t>
      </w:r>
      <w:r>
        <w:rPr>
          <w:rFonts w:ascii="Times New Roman" w:eastAsia="Times New Roman" w:hAnsi="Times New Roman" w:cs="Times New Roman"/>
          <w:color w:val="000000"/>
          <w:sz w:val="24"/>
          <w:szCs w:val="24"/>
        </w:rPr>
        <w:t xml:space="preserve">(1).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Alam, S., Begum, M., &amp; Islam, S. S. (2015). Misuse of topical corticosteroids by the patients attending dermatology OPD of Chittagong Medical College Hospital. </w:t>
      </w:r>
      <w:r>
        <w:rPr>
          <w:rFonts w:ascii="Times New Roman" w:eastAsia="Times New Roman" w:hAnsi="Times New Roman" w:cs="Times New Roman"/>
          <w:i/>
          <w:iCs/>
          <w:color w:val="000000"/>
          <w:sz w:val="24"/>
          <w:szCs w:val="24"/>
        </w:rPr>
        <w:t>Journal of Chittagong Medical College Teachers’ Association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26</w:t>
      </w:r>
      <w:r>
        <w:rPr>
          <w:rFonts w:ascii="Times New Roman" w:eastAsia="Times New Roman" w:hAnsi="Times New Roman" w:cs="Times New Roman"/>
          <w:color w:val="000000"/>
          <w:sz w:val="24"/>
          <w:szCs w:val="24"/>
        </w:rPr>
        <w:t>(1), 12–16.</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Ali, R., Ahmida, N. H. S., Ambarak, M., Busaadia, S., El-Zwaey, R. S., Towier, N. H., &amp; Ahmida, M. H. (2024). Advanced Journal of Chemistry-Section B Natural Products and Medical Chemistry Citation: The Health Risk Assessment of Some Toxic Metals in Some Commonly Demand Facial Cosmetics in Benghazi-Libya Markets during 2022. </w:t>
      </w:r>
      <w:r>
        <w:rPr>
          <w:rFonts w:ascii="Times New Roman" w:eastAsia="Times New Roman" w:hAnsi="Times New Roman" w:cs="Times New Roman"/>
          <w:i/>
          <w:iCs/>
          <w:color w:val="000000"/>
          <w:sz w:val="24"/>
          <w:szCs w:val="24"/>
        </w:rPr>
        <w:t>Adv. J. Chem. Sect. B. Nat. Prod. Med. Chem</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6</w:t>
      </w:r>
      <w:r>
        <w:rPr>
          <w:rFonts w:ascii="Times New Roman" w:eastAsia="Times New Roman" w:hAnsi="Times New Roman" w:cs="Times New Roman"/>
          <w:color w:val="000000"/>
          <w:sz w:val="24"/>
          <w:szCs w:val="24"/>
        </w:rPr>
        <w:t xml:space="preserve">(2), 130–139.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Arshad, H., Mehmood, M. Z., Shah, M. H., &amp; Abbasi, A. M. (2020). Evaluation of heavy metals in cosmetic products and their health risk assessment. </w:t>
      </w:r>
      <w:r>
        <w:rPr>
          <w:rFonts w:ascii="Times New Roman" w:eastAsia="Times New Roman" w:hAnsi="Times New Roman" w:cs="Times New Roman"/>
          <w:i/>
          <w:iCs/>
          <w:color w:val="000000"/>
          <w:sz w:val="24"/>
          <w:szCs w:val="24"/>
        </w:rPr>
        <w:t>Saudi Pharmaceutical Journal</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28</w:t>
      </w:r>
      <w:r>
        <w:rPr>
          <w:rFonts w:ascii="Times New Roman" w:eastAsia="Times New Roman" w:hAnsi="Times New Roman" w:cs="Times New Roman"/>
          <w:color w:val="000000"/>
          <w:sz w:val="24"/>
          <w:szCs w:val="24"/>
        </w:rPr>
        <w:t xml:space="preserve">(7), 779–790.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Attard, M. A., &amp; Attard, J. (2022). Liver toxicity in chronic lead exposure. </w:t>
      </w:r>
      <w:r>
        <w:rPr>
          <w:rFonts w:ascii="Times New Roman" w:eastAsia="Times New Roman" w:hAnsi="Times New Roman" w:cs="Times New Roman"/>
          <w:i/>
          <w:iCs/>
          <w:color w:val="000000"/>
          <w:sz w:val="24"/>
          <w:szCs w:val="24"/>
        </w:rPr>
        <w:t>Journal of Clinical and Translational Hepatology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10</w:t>
      </w:r>
      <w:r>
        <w:rPr>
          <w:rFonts w:ascii="Times New Roman" w:eastAsia="Times New Roman" w:hAnsi="Times New Roman" w:cs="Times New Roman"/>
          <w:color w:val="000000"/>
          <w:sz w:val="24"/>
          <w:szCs w:val="24"/>
        </w:rPr>
        <w:t>(3), 475–480.</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Basha, M. (2020). Cosmetic ingredients as environmental pollutants. </w:t>
      </w:r>
      <w:r>
        <w:rPr>
          <w:rFonts w:ascii="Times New Roman" w:eastAsia="Times New Roman" w:hAnsi="Times New Roman" w:cs="Times New Roman"/>
          <w:i/>
          <w:iCs/>
          <w:color w:val="000000"/>
          <w:sz w:val="24"/>
          <w:szCs w:val="24"/>
        </w:rPr>
        <w:t>Reviews in Environmental Science and Bio/Technology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19</w:t>
      </w:r>
      <w:r>
        <w:rPr>
          <w:rFonts w:ascii="Times New Roman" w:eastAsia="Times New Roman" w:hAnsi="Times New Roman" w:cs="Times New Roman"/>
          <w:color w:val="000000"/>
          <w:sz w:val="24"/>
          <w:szCs w:val="24"/>
        </w:rPr>
        <w:t>(3), 441–456.</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Bilal, M., Mehmood, S., &amp; Iqbal, H. M. N. (2020). The beast of beauty: Environmental and health concerns of toxic components in cosmetics. In </w:t>
      </w:r>
      <w:r>
        <w:rPr>
          <w:rFonts w:ascii="Times New Roman" w:eastAsia="Times New Roman" w:hAnsi="Times New Roman" w:cs="Times New Roman"/>
          <w:i/>
          <w:iCs/>
          <w:color w:val="000000"/>
          <w:sz w:val="24"/>
          <w:szCs w:val="24"/>
        </w:rPr>
        <w:t>Cosmetics</w:t>
      </w:r>
      <w:r>
        <w:rPr>
          <w:rFonts w:ascii="Times New Roman" w:eastAsia="Times New Roman" w:hAnsi="Times New Roman" w:cs="Times New Roman"/>
          <w:color w:val="000000"/>
          <w:sz w:val="24"/>
          <w:szCs w:val="24"/>
        </w:rPr>
        <w:t xml:space="preserve"> (Vol. 7, Issue 1).</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Borowska, S., &amp; Brzóska, M. M. (2015). Metals in cosmetics: Implications for human health. </w:t>
      </w:r>
      <w:r>
        <w:rPr>
          <w:rFonts w:ascii="Times New Roman" w:eastAsia="Times New Roman" w:hAnsi="Times New Roman" w:cs="Times New Roman"/>
          <w:i/>
          <w:iCs/>
          <w:color w:val="000000"/>
          <w:sz w:val="24"/>
          <w:szCs w:val="24"/>
        </w:rPr>
        <w:t>Journal of Applied Toxicology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35</w:t>
      </w:r>
      <w:r>
        <w:rPr>
          <w:rFonts w:ascii="Times New Roman" w:eastAsia="Times New Roman" w:hAnsi="Times New Roman" w:cs="Times New Roman"/>
          <w:color w:val="000000"/>
          <w:sz w:val="24"/>
          <w:szCs w:val="24"/>
        </w:rPr>
        <w:t xml:space="preserve">(6), 551–572.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Burger, P., Landreau, A., Azoulay, S., Michel, T., &amp; Fernandez, X. (2016). Skin whitening cosmetics: Feedback and challenges in the development of natural skin lighteners. </w:t>
      </w:r>
      <w:r>
        <w:rPr>
          <w:rFonts w:ascii="Times New Roman" w:eastAsia="Times New Roman" w:hAnsi="Times New Roman" w:cs="Times New Roman"/>
          <w:i/>
          <w:iCs/>
          <w:color w:val="000000"/>
          <w:sz w:val="24"/>
          <w:szCs w:val="24"/>
        </w:rPr>
        <w:t>Cosmetics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3</w:t>
      </w:r>
      <w:r>
        <w:rPr>
          <w:rFonts w:ascii="Times New Roman" w:eastAsia="Times New Roman" w:hAnsi="Times New Roman" w:cs="Times New Roman"/>
          <w:color w:val="000000"/>
          <w:sz w:val="24"/>
          <w:szCs w:val="24"/>
        </w:rPr>
        <w:t xml:space="preserve">(4).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Chen, X., &amp; Li, X. (2021). The impact of hazardous substances in cosmetics, and treatment measures. </w:t>
      </w:r>
      <w:r>
        <w:rPr>
          <w:rFonts w:ascii="Times New Roman" w:eastAsia="Times New Roman" w:hAnsi="Times New Roman" w:cs="Times New Roman"/>
          <w:i/>
          <w:iCs/>
          <w:color w:val="000000"/>
          <w:sz w:val="24"/>
          <w:szCs w:val="24"/>
        </w:rPr>
        <w:t>IOP Conference Series: Earth and Environmental Science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1011</w:t>
      </w:r>
      <w:r>
        <w:rPr>
          <w:rFonts w:ascii="Times New Roman" w:eastAsia="Times New Roman" w:hAnsi="Times New Roman" w:cs="Times New Roman"/>
          <w:color w:val="000000"/>
          <w:sz w:val="24"/>
          <w:szCs w:val="24"/>
        </w:rPr>
        <w:t xml:space="preserve">(1).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Dauda, B. E. N. (2023). Health risks associated with occupational exposure to hexavalent chromium in Nigeria: A review. </w:t>
      </w:r>
      <w:r>
        <w:rPr>
          <w:rFonts w:ascii="Times New Roman" w:eastAsia="Times New Roman" w:hAnsi="Times New Roman" w:cs="Times New Roman"/>
          <w:i/>
          <w:iCs/>
          <w:color w:val="000000"/>
          <w:sz w:val="24"/>
          <w:szCs w:val="24"/>
        </w:rPr>
        <w:t>Journal of Occupational Health and Environmental Medicine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2</w:t>
      </w:r>
      <w:r>
        <w:rPr>
          <w:rFonts w:ascii="Times New Roman" w:eastAsia="Times New Roman" w:hAnsi="Times New Roman" w:cs="Times New Roman"/>
          <w:color w:val="000000"/>
          <w:sz w:val="24"/>
          <w:szCs w:val="24"/>
        </w:rPr>
        <w:t>(1), 1–9.</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Dawn. (2023). </w:t>
      </w:r>
      <w:r>
        <w:rPr>
          <w:rFonts w:ascii="Times New Roman" w:eastAsia="Times New Roman" w:hAnsi="Times New Roman" w:cs="Times New Roman"/>
          <w:i/>
          <w:iCs/>
          <w:color w:val="000000"/>
          <w:sz w:val="24"/>
          <w:szCs w:val="24"/>
        </w:rPr>
        <w:t>Beauty and Personal Care in Pakistan</w:t>
      </w:r>
      <w:r>
        <w:rPr>
          <w:rFonts w:ascii="Times New Roman" w:eastAsia="Times New Roman" w:hAnsi="Times New Roman" w:cs="Times New Roman"/>
          <w:color w:val="000000"/>
          <w:sz w:val="24"/>
          <w:szCs w:val="24"/>
        </w:rPr>
        <w:t>.</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Dhanirama, D., Gronow, J., &amp; Voulvoulis, N. (2012). Cosmetics as a potential source of environmental contamination in the UK. </w:t>
      </w:r>
      <w:r>
        <w:rPr>
          <w:rFonts w:ascii="Times New Roman" w:eastAsia="Times New Roman" w:hAnsi="Times New Roman" w:cs="Times New Roman"/>
          <w:i/>
          <w:iCs/>
          <w:color w:val="000000"/>
          <w:sz w:val="24"/>
          <w:szCs w:val="24"/>
        </w:rPr>
        <w:t>Environmental Technology (United Kingdom)</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33</w:t>
      </w:r>
      <w:r>
        <w:rPr>
          <w:rFonts w:ascii="Times New Roman" w:eastAsia="Times New Roman" w:hAnsi="Times New Roman" w:cs="Times New Roman"/>
          <w:color w:val="000000"/>
          <w:sz w:val="24"/>
          <w:szCs w:val="24"/>
        </w:rPr>
        <w:t xml:space="preserve">(14), 1597–1608.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 Giovanni, C., Arcoraci, V., Gambardella, L., &amp; Sautebin, L. (2006). </w:t>
      </w:r>
      <w:r>
        <w:rPr>
          <w:rFonts w:ascii="Times New Roman" w:eastAsia="Times New Roman" w:hAnsi="Times New Roman" w:cs="Times New Roman"/>
          <w:i/>
          <w:iCs/>
          <w:color w:val="000000"/>
          <w:sz w:val="24"/>
          <w:szCs w:val="24"/>
        </w:rPr>
        <w:t>Cosmetovigilance survey: are cosmetics considered safe by consumers</w:t>
      </w:r>
      <w:r>
        <w:rPr>
          <w:rFonts w:ascii="Times New Roman" w:eastAsia="Times New Roman" w:hAnsi="Times New Roman" w:cs="Times New Roman"/>
          <w:color w:val="000000"/>
          <w:sz w:val="24"/>
          <w:szCs w:val="24"/>
        </w:rPr>
        <w:t>.</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Dinake, P., Motswetla, O., Kereeditse, T. T., &amp; Kelebemang, R. (2023). Assessment of level of heavy metals in cosmetics. </w:t>
      </w:r>
      <w:r>
        <w:rPr>
          <w:rFonts w:ascii="Times New Roman" w:eastAsia="Times New Roman" w:hAnsi="Times New Roman" w:cs="Times New Roman"/>
          <w:i/>
          <w:iCs/>
          <w:color w:val="000000"/>
          <w:sz w:val="24"/>
          <w:szCs w:val="24"/>
        </w:rPr>
        <w:t>Toxicology Research and Application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7</w:t>
      </w:r>
      <w:r>
        <w:rPr>
          <w:rFonts w:ascii="Times New Roman" w:eastAsia="Times New Roman" w:hAnsi="Times New Roman" w:cs="Times New Roman"/>
          <w:color w:val="000000"/>
          <w:sz w:val="24"/>
          <w:szCs w:val="24"/>
        </w:rPr>
        <w:t xml:space="preserve">.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Ehsan, A., Sultana, N., Munir, B., Assad, N., Ghaffar, A., &amp; Naeem-ul-Hassan, M. (2024). Assessment of some heavy metals for their potential health implications in the skin whitening creams available in Pakistani cosmetic market. </w:t>
      </w:r>
      <w:r>
        <w:rPr>
          <w:rFonts w:ascii="Times New Roman" w:eastAsia="Times New Roman" w:hAnsi="Times New Roman" w:cs="Times New Roman"/>
          <w:i/>
          <w:iCs/>
          <w:color w:val="000000"/>
          <w:sz w:val="24"/>
          <w:szCs w:val="24"/>
        </w:rPr>
        <w:t>International Journal of Environmental Analytical Chemistry</w:t>
      </w:r>
      <w:r>
        <w:rPr>
          <w:rFonts w:ascii="Times New Roman" w:eastAsia="Times New Roman" w:hAnsi="Times New Roman" w:cs="Times New Roman"/>
          <w:color w:val="000000"/>
          <w:sz w:val="24"/>
          <w:szCs w:val="24"/>
        </w:rPr>
        <w:t xml:space="preserve">.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Faurschou, A., Menné, T., Johansen, J. D., &amp; Thyssen, J. P. (2011). Metal allergen of the 21st century - A review on exposure, epidemiology and clinical manifestations of palladium allergy. </w:t>
      </w:r>
      <w:r>
        <w:rPr>
          <w:rFonts w:ascii="Times New Roman" w:eastAsia="Times New Roman" w:hAnsi="Times New Roman" w:cs="Times New Roman"/>
          <w:i/>
          <w:iCs/>
          <w:color w:val="000000"/>
          <w:sz w:val="24"/>
          <w:szCs w:val="24"/>
        </w:rPr>
        <w:t>Contact Dermatitis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64</w:t>
      </w:r>
      <w:r>
        <w:rPr>
          <w:rFonts w:ascii="Times New Roman" w:eastAsia="Times New Roman" w:hAnsi="Times New Roman" w:cs="Times New Roman"/>
          <w:color w:val="000000"/>
          <w:sz w:val="24"/>
          <w:szCs w:val="24"/>
        </w:rPr>
        <w:t xml:space="preserve">(4), 185–195.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Ference, J. D., &amp; Last, A. R. (2014). Choosing topical corticosteroids. </w:t>
      </w:r>
      <w:r>
        <w:rPr>
          <w:rFonts w:ascii="Times New Roman" w:eastAsia="Times New Roman" w:hAnsi="Times New Roman" w:cs="Times New Roman"/>
          <w:i/>
          <w:iCs/>
          <w:color w:val="000000"/>
          <w:sz w:val="24"/>
          <w:szCs w:val="24"/>
        </w:rPr>
        <w:t>American Family Physician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89</w:t>
      </w:r>
      <w:r>
        <w:rPr>
          <w:rFonts w:ascii="Times New Roman" w:eastAsia="Times New Roman" w:hAnsi="Times New Roman" w:cs="Times New Roman"/>
          <w:color w:val="000000"/>
          <w:sz w:val="24"/>
          <w:szCs w:val="24"/>
        </w:rPr>
        <w:t>(1), 30–36.</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Fiori, J., &amp; Andrisano, V. (2014). LC-MS method for the simultaneous determination of six glucocorticoids in pharmaceutical formulations and counterfeit cosmetic products. </w:t>
      </w:r>
      <w:r>
        <w:rPr>
          <w:rFonts w:ascii="Times New Roman" w:eastAsia="Times New Roman" w:hAnsi="Times New Roman" w:cs="Times New Roman"/>
          <w:i/>
          <w:iCs/>
          <w:color w:val="000000"/>
          <w:sz w:val="24"/>
          <w:szCs w:val="24"/>
        </w:rPr>
        <w:t>Journal of Pharmaceutical and Biomedical Analysis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91</w:t>
      </w:r>
      <w:r>
        <w:rPr>
          <w:rFonts w:ascii="Times New Roman" w:eastAsia="Times New Roman" w:hAnsi="Times New Roman" w:cs="Times New Roman"/>
          <w:color w:val="000000"/>
          <w:sz w:val="24"/>
          <w:szCs w:val="24"/>
        </w:rPr>
        <w:t xml:space="preserve">, 185–192.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Ghaderpoori, M., Kamarehie, B., Jafari, A., Alinejad, A. A., Hashempour, Y., Saghi, M. H., Yousefi, M., Oliveri Conti, G., Mohammadi, A. A., Ghaderpoury, A., &amp; Ferrante, M. (2020). Health risk assessment of heavy metals in cosmetic products sold in Iran: the Monte Carlo simulation. </w:t>
      </w:r>
      <w:r>
        <w:rPr>
          <w:rFonts w:ascii="Times New Roman" w:eastAsia="Times New Roman" w:hAnsi="Times New Roman" w:cs="Times New Roman"/>
          <w:i/>
          <w:iCs/>
          <w:color w:val="000000"/>
          <w:sz w:val="24"/>
          <w:szCs w:val="24"/>
        </w:rPr>
        <w:t>Environmental Science and Pollution Research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27</w:t>
      </w:r>
      <w:r>
        <w:rPr>
          <w:rFonts w:ascii="Times New Roman" w:eastAsia="Times New Roman" w:hAnsi="Times New Roman" w:cs="Times New Roman"/>
          <w:color w:val="000000"/>
          <w:sz w:val="24"/>
          <w:szCs w:val="24"/>
        </w:rPr>
        <w:t xml:space="preserve">(7), 7588–7595.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Giaccone, M. (2017). Adulteration of cosmetic products with corticosteroids: A review. </w:t>
      </w:r>
      <w:r>
        <w:rPr>
          <w:rFonts w:ascii="Times New Roman" w:eastAsia="Times New Roman" w:hAnsi="Times New Roman" w:cs="Times New Roman"/>
          <w:i/>
          <w:iCs/>
          <w:color w:val="000000"/>
          <w:sz w:val="24"/>
          <w:szCs w:val="24"/>
        </w:rPr>
        <w:t>Journal of Clinical Pharmacy and Therapeutics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42</w:t>
      </w:r>
      <w:r>
        <w:rPr>
          <w:rFonts w:ascii="Times New Roman" w:eastAsia="Times New Roman" w:hAnsi="Times New Roman" w:cs="Times New Roman"/>
          <w:color w:val="000000"/>
          <w:sz w:val="24"/>
          <w:szCs w:val="24"/>
        </w:rPr>
        <w:t>(6), 661–667.</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Gimeno, P., Maggio, A. F., Bancilhon, M., Lassu, N., Gornes, H., Brenier, C., &amp; Lempereur, L. (2016). HPLC-UV method for the identification and screening of hydroquinone, ethers of hydroquinone and corticosteroids possibly used as skin-whitening agents in illicit cosmetic products. </w:t>
      </w:r>
      <w:r>
        <w:rPr>
          <w:rFonts w:ascii="Times New Roman" w:eastAsia="Times New Roman" w:hAnsi="Times New Roman" w:cs="Times New Roman"/>
          <w:i/>
          <w:iCs/>
          <w:color w:val="000000"/>
          <w:sz w:val="24"/>
          <w:szCs w:val="24"/>
        </w:rPr>
        <w:t>Journal of Chromatographic Science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54</w:t>
      </w:r>
      <w:r>
        <w:rPr>
          <w:rFonts w:ascii="Times New Roman" w:eastAsia="Times New Roman" w:hAnsi="Times New Roman" w:cs="Times New Roman"/>
          <w:color w:val="000000"/>
          <w:sz w:val="24"/>
          <w:szCs w:val="24"/>
        </w:rPr>
        <w:t xml:space="preserve">(3), 343–352. </w:t>
      </w:r>
    </w:p>
    <w:p w:rsidR="003451D7" w:rsidRDefault="003451D7">
      <w:pPr>
        <w:autoSpaceDE w:val="0"/>
        <w:autoSpaceDN w:val="0"/>
        <w:ind w:hanging="480"/>
        <w:jc w:val="both"/>
        <w:rPr>
          <w:rFonts w:ascii="Times New Roman" w:eastAsia="Times New Roman" w:hAnsi="Times New Roman" w:cs="Times New Roman"/>
          <w:color w:val="000000"/>
          <w:sz w:val="24"/>
          <w:szCs w:val="24"/>
        </w:rPr>
      </w:pP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Habib, U., Pervaiz, A., Murtaza, A., Hussain, A., Sarwar, H., Ullah, M., ... &amp; Bashir, M. (2024). Assessing the cumulative effects of heavy metal exposure from cosmetic products on local consumers. Journal of Mountain Area Research, 9, 149-167.</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International Agency for Research on Cancer. (2012). </w:t>
      </w:r>
      <w:r>
        <w:rPr>
          <w:rFonts w:ascii="Times New Roman" w:eastAsia="Times New Roman" w:hAnsi="Times New Roman" w:cs="Times New Roman"/>
          <w:i/>
          <w:iCs/>
          <w:color w:val="000000"/>
          <w:sz w:val="24"/>
          <w:szCs w:val="24"/>
        </w:rPr>
        <w:t>IARC Monographs on the Evaluation of Carcinogenic Risks to Humans, Vol. 100C: Arsenic, Metals, Fibres and Dusts</w:t>
      </w:r>
      <w:r>
        <w:rPr>
          <w:rFonts w:ascii="Times New Roman" w:eastAsia="Times New Roman" w:hAnsi="Times New Roman" w:cs="Times New Roman"/>
          <w:color w:val="000000"/>
          <w:sz w:val="24"/>
          <w:szCs w:val="24"/>
        </w:rPr>
        <w:t>.</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Jaccob, A. A., Yaqoub, A. A., &amp; Rahmani, M. A. (2019). Impact of Abuse of Topical Corticosteroids and Counterfeit Cosmetic Products for the Face: Prospective Demographic Study in Basrah City, Iraq. </w:t>
      </w:r>
      <w:r>
        <w:rPr>
          <w:rFonts w:ascii="Times New Roman" w:eastAsia="Times New Roman" w:hAnsi="Times New Roman" w:cs="Times New Roman"/>
          <w:i/>
          <w:iCs/>
          <w:color w:val="000000"/>
          <w:sz w:val="24"/>
          <w:szCs w:val="24"/>
        </w:rPr>
        <w:t>Current Drug Safety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15</w:t>
      </w:r>
      <w:r>
        <w:rPr>
          <w:rFonts w:ascii="Times New Roman" w:eastAsia="Times New Roman" w:hAnsi="Times New Roman" w:cs="Times New Roman"/>
          <w:color w:val="000000"/>
          <w:sz w:val="24"/>
          <w:szCs w:val="24"/>
        </w:rPr>
        <w:t xml:space="preserve">(1), 25–31.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Kader Mohiuddin, A. (2019). Heavy Metals in Cosmetics: The Notorious Daredevils and Burning Health Issues. </w:t>
      </w:r>
      <w:r>
        <w:rPr>
          <w:rFonts w:ascii="Times New Roman" w:eastAsia="Times New Roman" w:hAnsi="Times New Roman" w:cs="Times New Roman"/>
          <w:i/>
          <w:iCs/>
          <w:color w:val="000000"/>
          <w:sz w:val="24"/>
          <w:szCs w:val="24"/>
        </w:rPr>
        <w:t>American Journal of Biomedical Science &amp; Research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4</w:t>
      </w:r>
      <w:r>
        <w:rPr>
          <w:rFonts w:ascii="Times New Roman" w:eastAsia="Times New Roman" w:hAnsi="Times New Roman" w:cs="Times New Roman"/>
          <w:color w:val="000000"/>
          <w:sz w:val="24"/>
          <w:szCs w:val="24"/>
        </w:rPr>
        <w:t xml:space="preserve">(5), 332–337.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Karekar, S. V. (2020). Misuse of topical corticosteroids: A growing concern. </w:t>
      </w:r>
      <w:r>
        <w:rPr>
          <w:rFonts w:ascii="Times New Roman" w:eastAsia="Times New Roman" w:hAnsi="Times New Roman" w:cs="Times New Roman"/>
          <w:i/>
          <w:iCs/>
          <w:color w:val="000000"/>
          <w:sz w:val="24"/>
          <w:szCs w:val="24"/>
        </w:rPr>
        <w:t>Indian Journal of Dermatology, Venereology, and Leprology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86</w:t>
      </w:r>
      <w:r>
        <w:rPr>
          <w:rFonts w:ascii="Times New Roman" w:eastAsia="Times New Roman" w:hAnsi="Times New Roman" w:cs="Times New Roman"/>
          <w:color w:val="000000"/>
          <w:sz w:val="24"/>
          <w:szCs w:val="24"/>
        </w:rPr>
        <w:t>(5), 515–520.</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Khan, N. H., Ullah, F., Khan, T. A., Zafar, U., Farhan Ali Khan, M., Mustaqeem, M., ... &amp; Ji, X. Y. (2021). </w:t>
      </w:r>
      <w:r>
        <w:rPr>
          <w:rFonts w:ascii="Times New Roman" w:eastAsia="Times New Roman" w:hAnsi="Times New Roman" w:cs="Times New Roman"/>
          <w:i/>
          <w:iCs/>
          <w:color w:val="000000"/>
          <w:sz w:val="24"/>
          <w:szCs w:val="24"/>
        </w:rPr>
        <w:t>Personal-care cosmetic practices in Pakistan: current perspectives and management. Clinical, Cosmetic and Investigational Dermatology, 9-21.</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Lim, S., Kim, H. G., Shin, H. S., Jeong, S. H., &amp; Kim, H. Y. (2018). Quantitative risk assessment of multiple heavy metals in cosmetics. </w:t>
      </w:r>
      <w:r>
        <w:rPr>
          <w:rFonts w:ascii="Times New Roman" w:eastAsia="Times New Roman" w:hAnsi="Times New Roman" w:cs="Times New Roman"/>
          <w:i/>
          <w:iCs/>
          <w:color w:val="000000"/>
          <w:sz w:val="24"/>
          <w:szCs w:val="24"/>
        </w:rPr>
        <w:t>Regulatory Toxicology and Pharmacology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94</w:t>
      </w:r>
      <w:r>
        <w:rPr>
          <w:rFonts w:ascii="Times New Roman" w:eastAsia="Times New Roman" w:hAnsi="Times New Roman" w:cs="Times New Roman"/>
          <w:color w:val="000000"/>
          <w:sz w:val="24"/>
          <w:szCs w:val="24"/>
        </w:rPr>
        <w:t>, 148–156.</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Mansouri, B., Davari, B., &amp; Mahmodi, M. (2018). Health risk assessment of the concentration of trace elements in cosmetic products in Sanandaj, Iran. </w:t>
      </w:r>
      <w:r>
        <w:rPr>
          <w:rFonts w:ascii="Times New Roman" w:eastAsia="Times New Roman" w:hAnsi="Times New Roman" w:cs="Times New Roman"/>
          <w:i/>
          <w:iCs/>
          <w:color w:val="000000"/>
          <w:sz w:val="24"/>
          <w:szCs w:val="24"/>
        </w:rPr>
        <w:t>J Adv. Environ Health Res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6</w:t>
      </w:r>
      <w:r>
        <w:rPr>
          <w:rFonts w:ascii="Times New Roman" w:eastAsia="Times New Roman" w:hAnsi="Times New Roman" w:cs="Times New Roman"/>
          <w:color w:val="000000"/>
          <w:sz w:val="24"/>
          <w:szCs w:val="24"/>
        </w:rPr>
        <w:t xml:space="preserve">, 21–26.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Massadeh, A. M., El-khateeb, M. Y., &amp; Ibrahim, S. M. (2017). Evaluation of Cd, Cr, Cu, Ni, and Pb in selected cosmetic products from Jordanian, Sudanese, and Syrian markets. </w:t>
      </w:r>
      <w:r>
        <w:rPr>
          <w:rFonts w:ascii="Times New Roman" w:eastAsia="Times New Roman" w:hAnsi="Times New Roman" w:cs="Times New Roman"/>
          <w:i/>
          <w:iCs/>
          <w:color w:val="000000"/>
          <w:sz w:val="24"/>
          <w:szCs w:val="24"/>
        </w:rPr>
        <w:t>Public Health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149</w:t>
      </w:r>
      <w:r>
        <w:rPr>
          <w:rFonts w:ascii="Times New Roman" w:eastAsia="Times New Roman" w:hAnsi="Times New Roman" w:cs="Times New Roman"/>
          <w:color w:val="000000"/>
          <w:sz w:val="24"/>
          <w:szCs w:val="24"/>
        </w:rPr>
        <w:t xml:space="preserve">, 130–137.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Michalek, I. M., Benn, E. K. T., dos Santos, F. L. C., Gordon, S., Wen, C., &amp; Liu, B. (2019). A systematic review of global legal regulations on the permissible level of heavy metals in cosmetics with particular emphasis on skin lightening products. In </w:t>
      </w:r>
      <w:r>
        <w:rPr>
          <w:rFonts w:ascii="Times New Roman" w:eastAsia="Times New Roman" w:hAnsi="Times New Roman" w:cs="Times New Roman"/>
          <w:i/>
          <w:iCs/>
          <w:color w:val="000000"/>
          <w:sz w:val="24"/>
          <w:szCs w:val="24"/>
        </w:rPr>
        <w:t>Environmental Research</w:t>
      </w:r>
      <w:r>
        <w:rPr>
          <w:rFonts w:ascii="Times New Roman" w:eastAsia="Times New Roman" w:hAnsi="Times New Roman" w:cs="Times New Roman"/>
          <w:color w:val="000000"/>
          <w:sz w:val="24"/>
          <w:szCs w:val="24"/>
        </w:rPr>
        <w:t xml:space="preserve"> (Vol. 170, pp. 187–193).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Morshed, A. J. M. (2017). Quantification of Heavy Metals in The Various Branded Face Wash Available in Bangladeshi Markets. </w:t>
      </w:r>
      <w:r>
        <w:rPr>
          <w:rFonts w:ascii="Times New Roman" w:eastAsia="Times New Roman" w:hAnsi="Times New Roman" w:cs="Times New Roman"/>
          <w:i/>
          <w:iCs/>
          <w:color w:val="000000"/>
          <w:sz w:val="24"/>
          <w:szCs w:val="24"/>
        </w:rPr>
        <w:t>International Journal of Scientific &amp; Technology Research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6</w:t>
      </w:r>
      <w:r>
        <w:rPr>
          <w:rFonts w:ascii="Times New Roman" w:eastAsia="Times New Roman" w:hAnsi="Times New Roman" w:cs="Times New Roman"/>
          <w:color w:val="000000"/>
          <w:sz w:val="24"/>
          <w:szCs w:val="24"/>
        </w:rPr>
        <w:t>.</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Munir, A., Hayyat, M. U., Shahzad, L., Sharif, F., Farhan, M., &amp; Ghafoor, G. Z. (2020). Assessment of heavy metals concentrations in commercially available lipsticks in Pakistan. </w:t>
      </w:r>
      <w:r>
        <w:rPr>
          <w:rFonts w:ascii="Times New Roman" w:eastAsia="Times New Roman" w:hAnsi="Times New Roman" w:cs="Times New Roman"/>
          <w:i/>
          <w:iCs/>
          <w:color w:val="000000"/>
          <w:sz w:val="24"/>
          <w:szCs w:val="24"/>
        </w:rPr>
        <w:t>Environmental Forensics</w:t>
      </w:r>
      <w:r>
        <w:rPr>
          <w:rFonts w:ascii="Times New Roman" w:eastAsia="Times New Roman" w:hAnsi="Times New Roman" w:cs="Times New Roman"/>
          <w:color w:val="000000"/>
          <w:sz w:val="24"/>
          <w:szCs w:val="24"/>
        </w:rPr>
        <w:t>, Burger</w:t>
      </w:r>
      <w:r>
        <w:rPr>
          <w:rFonts w:ascii="Times New Roman" w:eastAsia="Times New Roman" w:hAnsi="Times New Roman" w:cs="Times New Roman"/>
          <w:i/>
          <w:iCs/>
          <w:color w:val="000000"/>
          <w:sz w:val="24"/>
          <w:szCs w:val="24"/>
        </w:rPr>
        <w:t>21</w:t>
      </w:r>
      <w:r>
        <w:rPr>
          <w:rFonts w:ascii="Times New Roman" w:eastAsia="Times New Roman" w:hAnsi="Times New Roman" w:cs="Times New Roman"/>
          <w:color w:val="000000"/>
          <w:sz w:val="24"/>
          <w:szCs w:val="24"/>
        </w:rPr>
        <w:t xml:space="preserve">(3–4), 259–266.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Nam, Y. S., Kwon, I. K., &amp; Lee, K. B. (2011). Monitoring of clobetasol propionate and betamethasone dipropionate as undeclared steroids in cosmetic products manufactured in Korea. </w:t>
      </w:r>
      <w:r>
        <w:rPr>
          <w:rFonts w:ascii="Times New Roman" w:eastAsia="Times New Roman" w:hAnsi="Times New Roman" w:cs="Times New Roman"/>
          <w:i/>
          <w:iCs/>
          <w:color w:val="000000"/>
          <w:sz w:val="24"/>
          <w:szCs w:val="24"/>
        </w:rPr>
        <w:t>Forensic Science International</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210</w:t>
      </w:r>
      <w:r>
        <w:rPr>
          <w:rFonts w:ascii="Times New Roman" w:eastAsia="Times New Roman" w:hAnsi="Times New Roman" w:cs="Times New Roman"/>
          <w:color w:val="000000"/>
          <w:sz w:val="24"/>
          <w:szCs w:val="24"/>
        </w:rPr>
        <w:t xml:space="preserve">(1–3), 144–148.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Nasirudeen, M. B., &amp; Amaechi, A. U. (2015). Spectrophotometric determination of heavy metals in cosmetics sourced from Kaduna Metropolis, Nigeria. Science world journal, 10(3), 1-5.</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Quds, T., Ahmed, M., Shakeel, S., Jalbani, N., Mazhar, F., &amp; Azhar, I. (2021). Determination of the heavy metal contents of frequently used herbal products in Pakistan. </w:t>
      </w:r>
      <w:r>
        <w:rPr>
          <w:rFonts w:ascii="Times New Roman" w:eastAsia="Times New Roman" w:hAnsi="Times New Roman" w:cs="Times New Roman"/>
          <w:i/>
          <w:iCs/>
          <w:color w:val="000000"/>
          <w:sz w:val="24"/>
          <w:szCs w:val="24"/>
        </w:rPr>
        <w:t>Tropical Journal of Pharmaceutical Research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20</w:t>
      </w:r>
      <w:r>
        <w:rPr>
          <w:rFonts w:ascii="Times New Roman" w:eastAsia="Times New Roman" w:hAnsi="Times New Roman" w:cs="Times New Roman"/>
          <w:color w:val="000000"/>
          <w:sz w:val="24"/>
          <w:szCs w:val="24"/>
        </w:rPr>
        <w:t xml:space="preserve">(2), 377–382.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Rasheed, H., Iqbal, S., Ullah, H., Akbar, A., Farooqi, A., &amp; Syed, S. (2023). Analysis of heavy metals as toxic elements in cosmetics available at local markets of Quetta, Balochistan, Pakistan. </w:t>
      </w:r>
      <w:r>
        <w:rPr>
          <w:rFonts w:ascii="Times New Roman" w:eastAsia="Times New Roman" w:hAnsi="Times New Roman" w:cs="Times New Roman"/>
          <w:i/>
          <w:iCs/>
          <w:color w:val="000000"/>
          <w:sz w:val="24"/>
          <w:szCs w:val="24"/>
        </w:rPr>
        <w:t>International Journal of Environmental Analytical Chemistry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103</w:t>
      </w:r>
      <w:r>
        <w:rPr>
          <w:rFonts w:ascii="Times New Roman" w:eastAsia="Times New Roman" w:hAnsi="Times New Roman" w:cs="Times New Roman"/>
          <w:color w:val="000000"/>
          <w:sz w:val="24"/>
          <w:szCs w:val="24"/>
        </w:rPr>
        <w:t xml:space="preserve">(1), 57–70.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Ruiz, L. R., Ortiz, L., Oliveira, T., Abud, A. M., &amp; Buchala, C. A. (2019). Investigation of the Presence of Heavy Metals and Other Contaminants in Labor Cosmetics and their Health Risks in General. In </w:t>
      </w:r>
      <w:r>
        <w:rPr>
          <w:rFonts w:ascii="Times New Roman" w:eastAsia="Times New Roman" w:hAnsi="Times New Roman" w:cs="Times New Roman"/>
          <w:i/>
          <w:iCs/>
          <w:color w:val="000000"/>
          <w:sz w:val="24"/>
          <w:szCs w:val="24"/>
        </w:rPr>
        <w:t>Health Sci J</w:t>
      </w:r>
      <w:r>
        <w:rPr>
          <w:rFonts w:ascii="Times New Roman" w:eastAsia="Times New Roman" w:hAnsi="Times New Roman" w:cs="Times New Roman"/>
          <w:color w:val="000000"/>
          <w:sz w:val="24"/>
          <w:szCs w:val="24"/>
        </w:rPr>
        <w:t xml:space="preserve"> (Vol. 13, Issue 3).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Saadatzadeh, A., Afzalan, S., Zadehdabagh, R., Tishezan, L., Najafi, N., Seyedtabib, M., &amp; Noori, S. M. A. (2019). Determination of heavy metals (lead, cadmium, arsenic, and mercury) in authorized and unauthorized cosmetics. </w:t>
      </w:r>
      <w:r>
        <w:rPr>
          <w:rFonts w:ascii="Times New Roman" w:eastAsia="Times New Roman" w:hAnsi="Times New Roman" w:cs="Times New Roman"/>
          <w:i/>
          <w:iCs/>
          <w:color w:val="000000"/>
          <w:sz w:val="24"/>
          <w:szCs w:val="24"/>
        </w:rPr>
        <w:t>Cutaneous and Ocular Toxicology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38</w:t>
      </w:r>
      <w:r>
        <w:rPr>
          <w:rFonts w:ascii="Times New Roman" w:eastAsia="Times New Roman" w:hAnsi="Times New Roman" w:cs="Times New Roman"/>
          <w:color w:val="000000"/>
          <w:sz w:val="24"/>
          <w:szCs w:val="24"/>
        </w:rPr>
        <w:t xml:space="preserve">(3), 207–211.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Salve, K. S., &amp; Sonwane, N. S. (2015). Detection of heavy metals in cosmetics. World J. Pharm. Res, 4(4), 1368-1372.</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Saracoglu, S. (2012). Heavy metals in cosmetic products. </w:t>
      </w:r>
      <w:r>
        <w:rPr>
          <w:rFonts w:ascii="Times New Roman" w:eastAsia="Times New Roman" w:hAnsi="Times New Roman" w:cs="Times New Roman"/>
          <w:i/>
          <w:iCs/>
          <w:color w:val="000000"/>
          <w:sz w:val="24"/>
          <w:szCs w:val="24"/>
        </w:rPr>
        <w:t>Journal of Food and Nutrition Research</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51</w:t>
      </w:r>
      <w:r>
        <w:rPr>
          <w:rFonts w:ascii="Times New Roman" w:eastAsia="Times New Roman" w:hAnsi="Times New Roman" w:cs="Times New Roman"/>
          <w:color w:val="000000"/>
          <w:sz w:val="24"/>
          <w:szCs w:val="24"/>
        </w:rPr>
        <w:t>(2), 118–124.</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Tejal, P., Nishan, D., Amisha, J., Umesh, G., Desal, K. T., &amp; Bansal, R. K. (2013). </w:t>
      </w:r>
      <w:r>
        <w:rPr>
          <w:rFonts w:ascii="Times New Roman" w:eastAsia="Times New Roman" w:hAnsi="Times New Roman" w:cs="Times New Roman"/>
          <w:i/>
          <w:iCs/>
          <w:color w:val="000000"/>
          <w:sz w:val="24"/>
          <w:szCs w:val="24"/>
        </w:rPr>
        <w:t>Cosmetics and health: usage, perceptions and awareness</w:t>
      </w:r>
      <w:r>
        <w:rPr>
          <w:rFonts w:ascii="Times New Roman" w:eastAsia="Times New Roman" w:hAnsi="Times New Roman" w:cs="Times New Roman"/>
          <w:color w:val="000000"/>
          <w:sz w:val="24"/>
          <w:szCs w:val="24"/>
        </w:rPr>
        <w:t>.</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Ullah, H., Noreen, S., Fozia, Rehman, A., Waseem, A., Zubair, S., Adnan, M., &amp; Ahmad, I. (2017). Comparative study of heavy metals content in cosmetic products of different countries marketed in Khyber Pakhtunkhwa, Pakistan. </w:t>
      </w:r>
      <w:r>
        <w:rPr>
          <w:rFonts w:ascii="Times New Roman" w:eastAsia="Times New Roman" w:hAnsi="Times New Roman" w:cs="Times New Roman"/>
          <w:i/>
          <w:iCs/>
          <w:color w:val="000000"/>
          <w:sz w:val="24"/>
          <w:szCs w:val="24"/>
        </w:rPr>
        <w:t>Arabian Journal of Chemistry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10</w:t>
      </w:r>
      <w:r>
        <w:rPr>
          <w:rFonts w:ascii="Times New Roman" w:eastAsia="Times New Roman" w:hAnsi="Times New Roman" w:cs="Times New Roman"/>
          <w:color w:val="000000"/>
          <w:sz w:val="24"/>
          <w:szCs w:val="24"/>
        </w:rPr>
        <w:t xml:space="preserve">(1), 10–18.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 Environmental Protection Agency (US EPA). (1989). </w:t>
      </w:r>
      <w:r>
        <w:rPr>
          <w:rFonts w:ascii="Times New Roman" w:eastAsia="Times New Roman" w:hAnsi="Times New Roman" w:cs="Times New Roman"/>
          <w:i/>
          <w:iCs/>
          <w:color w:val="000000"/>
          <w:sz w:val="24"/>
          <w:szCs w:val="24"/>
        </w:rPr>
        <w:t>Risk Assessment Guidance for Superfund, Volume I: Human Health Evaluation Manual (Part A, Baseline Risk Assessment)</w:t>
      </w:r>
      <w:r>
        <w:rPr>
          <w:rFonts w:ascii="Times New Roman" w:eastAsia="Times New Roman" w:hAnsi="Times New Roman" w:cs="Times New Roman"/>
          <w:color w:val="000000"/>
          <w:sz w:val="24"/>
          <w:szCs w:val="24"/>
        </w:rPr>
        <w:t>.</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 National Library of Medicine. (2023). </w:t>
      </w:r>
      <w:r>
        <w:rPr>
          <w:rFonts w:ascii="Times New Roman" w:eastAsia="Times New Roman" w:hAnsi="Times New Roman" w:cs="Times New Roman"/>
          <w:i/>
          <w:iCs/>
          <w:color w:val="000000"/>
          <w:sz w:val="24"/>
          <w:szCs w:val="24"/>
        </w:rPr>
        <w:t>Hydrocortisone Topical</w:t>
      </w:r>
      <w:r>
        <w:rPr>
          <w:rFonts w:ascii="Times New Roman" w:eastAsia="Times New Roman" w:hAnsi="Times New Roman" w:cs="Times New Roman"/>
          <w:color w:val="000000"/>
          <w:sz w:val="24"/>
          <w:szCs w:val="24"/>
        </w:rPr>
        <w:t>. MedlinePlus.</w:t>
      </w:r>
    </w:p>
    <w:p w:rsidR="003451D7" w:rsidRDefault="00715CE0">
      <w:pPr>
        <w:autoSpaceDE w:val="0"/>
        <w:autoSpaceDN w:val="0"/>
        <w:ind w:hanging="480"/>
        <w:jc w:val="both"/>
        <w:rPr>
          <w:rFonts w:ascii="Consolas" w:hAnsi="Consolas"/>
          <w:color w:val="1B1B1B"/>
          <w:shd w:val="clear" w:color="auto" w:fill="FFFFFF"/>
        </w:rPr>
      </w:pPr>
      <w:r>
        <w:rPr>
          <w:rFonts w:ascii="Times New Roman" w:eastAsia="Times New Roman" w:hAnsi="Times New Roman" w:cs="Times New Roman"/>
          <w:color w:val="000000"/>
          <w:sz w:val="24"/>
          <w:szCs w:val="24"/>
        </w:rPr>
        <w:t>Wani AL, Ara A, Usmani JA. Lead toxicity: a review. Interdiscip Toxicol. 2015</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Xie, H., Xiao, X., &amp; Li, J. (2017). Topical steroids in Chinese cosmetics. </w:t>
      </w:r>
      <w:r>
        <w:rPr>
          <w:rFonts w:ascii="Times New Roman" w:eastAsia="Times New Roman" w:hAnsi="Times New Roman" w:cs="Times New Roman"/>
          <w:i/>
          <w:iCs/>
          <w:color w:val="000000"/>
          <w:sz w:val="24"/>
          <w:szCs w:val="24"/>
        </w:rPr>
        <w:t>JAMA Dermatology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153</w:t>
      </w:r>
      <w:r>
        <w:rPr>
          <w:rFonts w:ascii="Times New Roman" w:eastAsia="Times New Roman" w:hAnsi="Times New Roman" w:cs="Times New Roman"/>
          <w:color w:val="000000"/>
          <w:sz w:val="24"/>
          <w:szCs w:val="24"/>
        </w:rPr>
        <w:t xml:space="preserve">(9), 855–856. </w:t>
      </w:r>
    </w:p>
    <w:p w:rsidR="003451D7" w:rsidRDefault="00715CE0">
      <w:pPr>
        <w:autoSpaceDE w:val="0"/>
        <w:autoSpaceDN w:val="0"/>
        <w:ind w:hanging="4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Yebpella, G. G., Magomya, A. M., Lawal, U., Gauje, B., &amp; Oko O. J. (2014). Assessment of Trace Metals in Imported Cosmetics marketed in Nigeria. In </w:t>
      </w:r>
      <w:r>
        <w:rPr>
          <w:rFonts w:ascii="Times New Roman" w:eastAsia="Times New Roman" w:hAnsi="Times New Roman" w:cs="Times New Roman"/>
          <w:i/>
          <w:iCs/>
          <w:color w:val="000000"/>
          <w:sz w:val="24"/>
          <w:szCs w:val="24"/>
        </w:rPr>
        <w:t>Journal of Natural Sciences Research ISSN</w:t>
      </w:r>
      <w:r>
        <w:rPr>
          <w:rFonts w:ascii="Times New Roman" w:eastAsia="Times New Roman" w:hAnsi="Times New Roman" w:cs="Times New Roman"/>
          <w:color w:val="000000"/>
          <w:sz w:val="24"/>
          <w:szCs w:val="24"/>
        </w:rPr>
        <w:t xml:space="preserve"> (Vol. 4, Issue 14). </w:t>
      </w:r>
    </w:p>
    <w:p w:rsidR="003451D7" w:rsidRDefault="003451D7">
      <w:pPr>
        <w:spacing w:before="240" w:line="276" w:lineRule="auto"/>
        <w:jc w:val="both"/>
        <w:rPr>
          <w:rFonts w:ascii="Times New Roman" w:hAnsi="Times New Roman" w:cs="Times New Roman"/>
          <w:sz w:val="24"/>
          <w:szCs w:val="24"/>
        </w:rPr>
      </w:pPr>
    </w:p>
    <w:p w:rsidR="00DE5BAE" w:rsidRDefault="00DE5BAE">
      <w:pPr>
        <w:pStyle w:val="Heading1"/>
        <w:numPr>
          <w:ilvl w:val="0"/>
          <w:numId w:val="0"/>
        </w:numPr>
        <w:ind w:left="432"/>
        <w:jc w:val="center"/>
      </w:pPr>
      <w:bookmarkStart w:id="238" w:name="_Toc208820436"/>
    </w:p>
    <w:p w:rsidR="00DE5BAE" w:rsidRDefault="00DE5BAE">
      <w:pPr>
        <w:pStyle w:val="Heading1"/>
        <w:numPr>
          <w:ilvl w:val="0"/>
          <w:numId w:val="0"/>
        </w:numPr>
        <w:ind w:left="432"/>
        <w:jc w:val="center"/>
      </w:pPr>
    </w:p>
    <w:p w:rsidR="003451D7" w:rsidRDefault="00715CE0">
      <w:pPr>
        <w:pStyle w:val="Heading1"/>
        <w:numPr>
          <w:ilvl w:val="0"/>
          <w:numId w:val="0"/>
        </w:numPr>
        <w:ind w:left="432"/>
        <w:jc w:val="center"/>
      </w:pPr>
      <w:bookmarkStart w:id="239" w:name="_GoBack"/>
      <w:bookmarkEnd w:id="239"/>
      <w:r>
        <w:t>APPENDIX</w:t>
      </w:r>
      <w:bookmarkEnd w:id="238"/>
    </w:p>
    <w:p w:rsidR="003451D7" w:rsidRDefault="003451D7">
      <w:pPr>
        <w:pStyle w:val="NormalWeb"/>
        <w:spacing w:before="0" w:beforeAutospacing="0" w:after="0" w:afterAutospacing="0" w:line="360" w:lineRule="auto"/>
        <w:rPr>
          <w:rFonts w:eastAsiaTheme="majorEastAsia"/>
          <w:b/>
          <w:bCs/>
          <w:sz w:val="26"/>
          <w:szCs w:val="26"/>
        </w:rPr>
      </w:pPr>
    </w:p>
    <w:p w:rsidR="003451D7" w:rsidRDefault="003451D7">
      <w:pPr>
        <w:pStyle w:val="NormalWeb"/>
        <w:spacing w:before="0" w:beforeAutospacing="0" w:after="0" w:afterAutospacing="0" w:line="360" w:lineRule="auto"/>
        <w:rPr>
          <w:rFonts w:eastAsiaTheme="majorEastAsia"/>
          <w:b/>
          <w:bCs/>
          <w:sz w:val="26"/>
          <w:szCs w:val="26"/>
        </w:rPr>
      </w:pPr>
    </w:p>
    <w:tbl>
      <w:tblPr>
        <w:tblStyle w:val="TableGrid"/>
        <w:tblW w:w="9918" w:type="dxa"/>
        <w:tblLook w:val="04A0" w:firstRow="1" w:lastRow="0" w:firstColumn="1" w:lastColumn="0" w:noHBand="0" w:noVBand="1"/>
      </w:tblPr>
      <w:tblGrid>
        <w:gridCol w:w="3528"/>
        <w:gridCol w:w="2880"/>
        <w:gridCol w:w="3510"/>
      </w:tblGrid>
      <w:tr w:rsidR="003451D7">
        <w:tc>
          <w:tcPr>
            <w:tcW w:w="3528" w:type="dxa"/>
          </w:tcPr>
          <w:p w:rsidR="003451D7" w:rsidRDefault="00715CE0">
            <w:pPr>
              <w:pStyle w:val="NormalWeb"/>
              <w:spacing w:line="360" w:lineRule="auto"/>
              <w:rPr>
                <w:color w:val="0E101A"/>
              </w:rPr>
            </w:pPr>
            <w:r>
              <w:rPr>
                <w:b/>
                <w:bCs/>
                <w:color w:val="0E101A"/>
              </w:rPr>
              <w:t>Question</w:t>
            </w:r>
          </w:p>
        </w:tc>
        <w:tc>
          <w:tcPr>
            <w:tcW w:w="2880" w:type="dxa"/>
          </w:tcPr>
          <w:p w:rsidR="003451D7" w:rsidRDefault="00715CE0">
            <w:pPr>
              <w:pStyle w:val="NormalWeb"/>
              <w:spacing w:before="0" w:beforeAutospacing="0" w:after="0" w:afterAutospacing="0" w:line="360" w:lineRule="auto"/>
              <w:rPr>
                <w:b/>
                <w:color w:val="0E101A"/>
              </w:rPr>
            </w:pPr>
            <w:r>
              <w:rPr>
                <w:b/>
                <w:color w:val="0E101A"/>
              </w:rPr>
              <w:t>Options</w:t>
            </w:r>
          </w:p>
        </w:tc>
        <w:tc>
          <w:tcPr>
            <w:tcW w:w="3510" w:type="dxa"/>
          </w:tcPr>
          <w:p w:rsidR="003451D7" w:rsidRDefault="00715CE0">
            <w:pPr>
              <w:pStyle w:val="NormalWeb"/>
              <w:spacing w:before="0" w:beforeAutospacing="0" w:after="0" w:afterAutospacing="0" w:line="360" w:lineRule="auto"/>
              <w:rPr>
                <w:b/>
                <w:color w:val="0E101A"/>
              </w:rPr>
            </w:pPr>
            <w:r>
              <w:rPr>
                <w:b/>
                <w:color w:val="0E101A"/>
              </w:rPr>
              <w:t>Source</w:t>
            </w:r>
          </w:p>
        </w:tc>
      </w:tr>
      <w:tr w:rsidR="003451D7">
        <w:tc>
          <w:tcPr>
            <w:tcW w:w="3528" w:type="dxa"/>
          </w:tcPr>
          <w:p w:rsidR="003451D7" w:rsidRDefault="00715CE0">
            <w:pPr>
              <w:pStyle w:val="NormalWeb"/>
              <w:spacing w:before="0" w:beforeAutospacing="0" w:after="0" w:afterAutospacing="0" w:line="360" w:lineRule="auto"/>
              <w:rPr>
                <w:color w:val="0E101A"/>
              </w:rPr>
            </w:pPr>
            <w:r>
              <w:rPr>
                <w:color w:val="0E101A"/>
              </w:rPr>
              <w:t>Gender</w:t>
            </w:r>
          </w:p>
        </w:tc>
        <w:tc>
          <w:tcPr>
            <w:tcW w:w="2880" w:type="dxa"/>
          </w:tcPr>
          <w:p w:rsidR="003451D7" w:rsidRDefault="00715CE0">
            <w:pPr>
              <w:pStyle w:val="NormalWeb"/>
              <w:spacing w:before="0" w:beforeAutospacing="0" w:after="0" w:afterAutospacing="0" w:line="360" w:lineRule="auto"/>
              <w:rPr>
                <w:color w:val="0E101A"/>
              </w:rPr>
            </w:pPr>
            <w:r>
              <w:rPr>
                <w:color w:val="0E101A"/>
              </w:rPr>
              <w:t>-Male</w:t>
            </w:r>
          </w:p>
          <w:p w:rsidR="003451D7" w:rsidRDefault="00715CE0">
            <w:pPr>
              <w:pStyle w:val="NormalWeb"/>
              <w:spacing w:before="0" w:beforeAutospacing="0" w:after="0" w:afterAutospacing="0" w:line="360" w:lineRule="auto"/>
              <w:rPr>
                <w:color w:val="0E101A"/>
              </w:rPr>
            </w:pPr>
            <w:r>
              <w:rPr>
                <w:color w:val="0E101A"/>
              </w:rPr>
              <w:t>-Female</w:t>
            </w:r>
          </w:p>
        </w:tc>
        <w:tc>
          <w:tcPr>
            <w:tcW w:w="3510" w:type="dxa"/>
          </w:tcPr>
          <w:p w:rsidR="003451D7" w:rsidRDefault="00715CE0">
            <w:pPr>
              <w:pStyle w:val="NormalWeb"/>
              <w:spacing w:line="360" w:lineRule="auto"/>
              <w:rPr>
                <w:color w:val="0E101A"/>
              </w:rPr>
            </w:pPr>
            <w:r>
              <w:rPr>
                <w:color w:val="0E101A"/>
              </w:rPr>
              <w:t>Tejal, P., Nishan, D., Amisha, J., Umesh, G., Desai, K. T., &amp; Bansal, R. K. (2013). Cosmetics and health: usage, perceptions and awareness. </w:t>
            </w:r>
          </w:p>
        </w:tc>
      </w:tr>
      <w:tr w:rsidR="003451D7">
        <w:tc>
          <w:tcPr>
            <w:tcW w:w="3528" w:type="dxa"/>
          </w:tcPr>
          <w:p w:rsidR="003451D7" w:rsidRDefault="00715CE0">
            <w:pPr>
              <w:pStyle w:val="NormalWeb"/>
              <w:spacing w:line="360" w:lineRule="auto"/>
              <w:rPr>
                <w:color w:val="0E101A"/>
              </w:rPr>
            </w:pPr>
            <w:r>
              <w:rPr>
                <w:color w:val="0E101A"/>
              </w:rPr>
              <w:t>What is your age group?</w:t>
            </w:r>
          </w:p>
        </w:tc>
        <w:tc>
          <w:tcPr>
            <w:tcW w:w="2880" w:type="dxa"/>
          </w:tcPr>
          <w:p w:rsidR="003451D7" w:rsidRDefault="00715CE0">
            <w:pPr>
              <w:pStyle w:val="NormalWeb"/>
              <w:rPr>
                <w:color w:val="0E101A"/>
              </w:rPr>
            </w:pPr>
            <w:r>
              <w:rPr>
                <w:color w:val="0E101A"/>
              </w:rPr>
              <w:t>- Under 18</w:t>
            </w:r>
          </w:p>
          <w:p w:rsidR="003451D7" w:rsidRDefault="00715CE0">
            <w:pPr>
              <w:pStyle w:val="NormalWeb"/>
              <w:rPr>
                <w:color w:val="0E101A"/>
              </w:rPr>
            </w:pPr>
            <w:r>
              <w:rPr>
                <w:color w:val="0E101A"/>
              </w:rPr>
              <w:t>- 18-24</w:t>
            </w:r>
          </w:p>
          <w:p w:rsidR="003451D7" w:rsidRDefault="00715CE0">
            <w:pPr>
              <w:pStyle w:val="NormalWeb"/>
              <w:rPr>
                <w:color w:val="0E101A"/>
              </w:rPr>
            </w:pPr>
            <w:r>
              <w:rPr>
                <w:color w:val="0E101A"/>
              </w:rPr>
              <w:t>- 25-34</w:t>
            </w:r>
          </w:p>
          <w:p w:rsidR="003451D7" w:rsidRDefault="00715CE0">
            <w:pPr>
              <w:pStyle w:val="NormalWeb"/>
              <w:rPr>
                <w:color w:val="0E101A"/>
              </w:rPr>
            </w:pPr>
            <w:r>
              <w:rPr>
                <w:color w:val="0E101A"/>
              </w:rPr>
              <w:t>- 35 and more</w:t>
            </w:r>
          </w:p>
        </w:tc>
        <w:tc>
          <w:tcPr>
            <w:tcW w:w="3510" w:type="dxa"/>
          </w:tcPr>
          <w:p w:rsidR="003451D7" w:rsidRDefault="003451D7">
            <w:pPr>
              <w:pStyle w:val="NormalWeb"/>
              <w:spacing w:before="0" w:beforeAutospacing="0" w:after="0" w:afterAutospacing="0" w:line="360" w:lineRule="auto"/>
              <w:rPr>
                <w:color w:val="0E101A"/>
              </w:rPr>
            </w:pPr>
          </w:p>
        </w:tc>
      </w:tr>
      <w:tr w:rsidR="003451D7">
        <w:tc>
          <w:tcPr>
            <w:tcW w:w="3528" w:type="dxa"/>
          </w:tcPr>
          <w:p w:rsidR="003451D7" w:rsidRDefault="00715CE0">
            <w:pPr>
              <w:pStyle w:val="NormalWeb"/>
              <w:spacing w:line="360" w:lineRule="auto"/>
              <w:rPr>
                <w:color w:val="0E101A"/>
              </w:rPr>
            </w:pPr>
            <w:r>
              <w:rPr>
                <w:color w:val="0E101A"/>
              </w:rPr>
              <w:t>What is your highest level of education?</w:t>
            </w:r>
          </w:p>
        </w:tc>
        <w:tc>
          <w:tcPr>
            <w:tcW w:w="2880" w:type="dxa"/>
          </w:tcPr>
          <w:p w:rsidR="003451D7" w:rsidRDefault="00715CE0">
            <w:pPr>
              <w:pStyle w:val="NormalWeb"/>
              <w:rPr>
                <w:color w:val="0E101A"/>
              </w:rPr>
            </w:pPr>
            <w:r>
              <w:rPr>
                <w:color w:val="0E101A"/>
              </w:rPr>
              <w:t xml:space="preserve">- No formal education </w:t>
            </w:r>
          </w:p>
          <w:p w:rsidR="003451D7" w:rsidRDefault="00715CE0">
            <w:pPr>
              <w:pStyle w:val="NormalWeb"/>
              <w:rPr>
                <w:color w:val="0E101A"/>
              </w:rPr>
            </w:pPr>
            <w:r>
              <w:rPr>
                <w:color w:val="0E101A"/>
              </w:rPr>
              <w:t xml:space="preserve">- Primary school </w:t>
            </w:r>
          </w:p>
          <w:p w:rsidR="003451D7" w:rsidRDefault="00715CE0">
            <w:pPr>
              <w:pStyle w:val="NormalWeb"/>
              <w:rPr>
                <w:color w:val="0E101A"/>
              </w:rPr>
            </w:pPr>
            <w:r>
              <w:rPr>
                <w:color w:val="0E101A"/>
              </w:rPr>
              <w:t xml:space="preserve">- High school </w:t>
            </w:r>
          </w:p>
          <w:p w:rsidR="003451D7" w:rsidRDefault="00715CE0">
            <w:pPr>
              <w:pStyle w:val="NormalWeb"/>
              <w:rPr>
                <w:color w:val="0E101A"/>
              </w:rPr>
            </w:pPr>
            <w:r>
              <w:rPr>
                <w:color w:val="0E101A"/>
              </w:rPr>
              <w:t xml:space="preserve">- College/University </w:t>
            </w:r>
          </w:p>
        </w:tc>
        <w:tc>
          <w:tcPr>
            <w:tcW w:w="3510" w:type="dxa"/>
          </w:tcPr>
          <w:p w:rsidR="003451D7" w:rsidRDefault="003451D7">
            <w:pPr>
              <w:pStyle w:val="NormalWeb"/>
              <w:spacing w:before="0" w:beforeAutospacing="0" w:after="0" w:afterAutospacing="0" w:line="360" w:lineRule="auto"/>
              <w:rPr>
                <w:color w:val="0E101A"/>
              </w:rPr>
            </w:pPr>
          </w:p>
        </w:tc>
      </w:tr>
      <w:tr w:rsidR="003451D7">
        <w:tc>
          <w:tcPr>
            <w:tcW w:w="3528" w:type="dxa"/>
          </w:tcPr>
          <w:p w:rsidR="003451D7" w:rsidRDefault="00715CE0">
            <w:pPr>
              <w:pStyle w:val="NormalWeb"/>
              <w:spacing w:line="360" w:lineRule="auto"/>
              <w:rPr>
                <w:color w:val="0E101A"/>
              </w:rPr>
            </w:pPr>
            <w:r>
              <w:rPr>
                <w:color w:val="0E101A"/>
              </w:rPr>
              <w:t>How often do you use Face wash?</w:t>
            </w:r>
          </w:p>
        </w:tc>
        <w:tc>
          <w:tcPr>
            <w:tcW w:w="2880" w:type="dxa"/>
          </w:tcPr>
          <w:p w:rsidR="003451D7" w:rsidRDefault="00715CE0">
            <w:pPr>
              <w:pStyle w:val="NormalWeb"/>
              <w:rPr>
                <w:color w:val="0E101A"/>
              </w:rPr>
            </w:pPr>
            <w:r>
              <w:rPr>
                <w:color w:val="0E101A"/>
              </w:rPr>
              <w:t xml:space="preserve">- Daily </w:t>
            </w:r>
          </w:p>
          <w:p w:rsidR="003451D7" w:rsidRDefault="00715CE0">
            <w:pPr>
              <w:pStyle w:val="NormalWeb"/>
              <w:rPr>
                <w:color w:val="0E101A"/>
              </w:rPr>
            </w:pPr>
            <w:r>
              <w:rPr>
                <w:color w:val="0E101A"/>
              </w:rPr>
              <w:t xml:space="preserve">- Weekly </w:t>
            </w:r>
          </w:p>
          <w:p w:rsidR="003451D7" w:rsidRDefault="00715CE0">
            <w:pPr>
              <w:pStyle w:val="NormalWeb"/>
              <w:rPr>
                <w:color w:val="0E101A"/>
              </w:rPr>
            </w:pPr>
            <w:r>
              <w:rPr>
                <w:color w:val="0E101A"/>
              </w:rPr>
              <w:t xml:space="preserve">- Occasionally  </w:t>
            </w:r>
          </w:p>
          <w:p w:rsidR="003451D7" w:rsidRDefault="00715CE0">
            <w:pPr>
              <w:pStyle w:val="NormalWeb"/>
              <w:rPr>
                <w:color w:val="0E101A"/>
              </w:rPr>
            </w:pPr>
            <w:r>
              <w:rPr>
                <w:color w:val="0E101A"/>
              </w:rPr>
              <w:t xml:space="preserve">- Never </w:t>
            </w:r>
          </w:p>
        </w:tc>
        <w:tc>
          <w:tcPr>
            <w:tcW w:w="3510" w:type="dxa"/>
          </w:tcPr>
          <w:p w:rsidR="003451D7" w:rsidRDefault="00715CE0">
            <w:pPr>
              <w:pStyle w:val="NormalWeb"/>
              <w:spacing w:line="360" w:lineRule="auto"/>
              <w:rPr>
                <w:color w:val="0E101A"/>
              </w:rPr>
            </w:pPr>
            <w:r>
              <w:rPr>
                <w:color w:val="0E101A"/>
              </w:rPr>
              <w:t>Corazza, M., Borghi, A., Lauriola, M. M., &amp; Virgili, A. (2009). Use of topical herbal remedies and cosmetics: a questionnaire‐based investigation in dermatology out‐patients. </w:t>
            </w:r>
          </w:p>
        </w:tc>
      </w:tr>
      <w:tr w:rsidR="003451D7">
        <w:tc>
          <w:tcPr>
            <w:tcW w:w="3528" w:type="dxa"/>
          </w:tcPr>
          <w:p w:rsidR="003451D7" w:rsidRDefault="00715CE0">
            <w:pPr>
              <w:pStyle w:val="NormalWeb"/>
              <w:spacing w:line="360" w:lineRule="auto"/>
              <w:rPr>
                <w:color w:val="0E101A"/>
              </w:rPr>
            </w:pPr>
            <w:r>
              <w:rPr>
                <w:color w:val="0E101A"/>
              </w:rPr>
              <w:lastRenderedPageBreak/>
              <w:t>How frequently do you use face wash?</w:t>
            </w:r>
          </w:p>
        </w:tc>
        <w:tc>
          <w:tcPr>
            <w:tcW w:w="2880" w:type="dxa"/>
          </w:tcPr>
          <w:p w:rsidR="003451D7" w:rsidRDefault="00715CE0">
            <w:pPr>
              <w:pStyle w:val="NormalWeb"/>
              <w:rPr>
                <w:color w:val="0E101A"/>
              </w:rPr>
            </w:pPr>
            <w:r>
              <w:rPr>
                <w:color w:val="0E101A"/>
              </w:rPr>
              <w:t>-Multiple times a day</w:t>
            </w:r>
          </w:p>
          <w:p w:rsidR="003451D7" w:rsidRDefault="00715CE0">
            <w:pPr>
              <w:pStyle w:val="NormalWeb"/>
              <w:rPr>
                <w:color w:val="0E101A"/>
              </w:rPr>
            </w:pPr>
            <w:r>
              <w:rPr>
                <w:color w:val="0E101A"/>
              </w:rPr>
              <w:t>-Once a day</w:t>
            </w:r>
          </w:p>
          <w:p w:rsidR="003451D7" w:rsidRDefault="00715CE0">
            <w:pPr>
              <w:pStyle w:val="NormalWeb"/>
              <w:rPr>
                <w:color w:val="0E101A"/>
              </w:rPr>
            </w:pPr>
            <w:r>
              <w:rPr>
                <w:color w:val="0E101A"/>
              </w:rPr>
              <w:t>-A few times a week</w:t>
            </w:r>
          </w:p>
          <w:p w:rsidR="003451D7" w:rsidRDefault="00715CE0">
            <w:pPr>
              <w:pStyle w:val="NormalWeb"/>
              <w:rPr>
                <w:color w:val="0E101A"/>
              </w:rPr>
            </w:pPr>
            <w:r>
              <w:rPr>
                <w:color w:val="0E101A"/>
              </w:rPr>
              <w:t>-Once a week</w:t>
            </w:r>
          </w:p>
        </w:tc>
        <w:tc>
          <w:tcPr>
            <w:tcW w:w="3510" w:type="dxa"/>
          </w:tcPr>
          <w:p w:rsidR="003451D7" w:rsidRDefault="00715CE0">
            <w:pPr>
              <w:pStyle w:val="NormalWeb"/>
              <w:spacing w:line="360" w:lineRule="auto"/>
              <w:rPr>
                <w:color w:val="0E101A"/>
              </w:rPr>
            </w:pPr>
            <w:r>
              <w:rPr>
                <w:color w:val="0E101A"/>
              </w:rPr>
              <w:t>Corazza, M., Borghi, A., Lauriola, M. M., &amp; Virgili, A. (2009). Use of topical herbal remedies and cosmetics: a questionnaire‐based investigation in dermatology out‐patients. </w:t>
            </w:r>
          </w:p>
        </w:tc>
      </w:tr>
      <w:tr w:rsidR="003451D7">
        <w:tc>
          <w:tcPr>
            <w:tcW w:w="3528" w:type="dxa"/>
          </w:tcPr>
          <w:p w:rsidR="003451D7" w:rsidRDefault="00715CE0">
            <w:pPr>
              <w:pStyle w:val="NormalWeb"/>
              <w:spacing w:line="360" w:lineRule="auto"/>
              <w:rPr>
                <w:color w:val="0E101A"/>
              </w:rPr>
            </w:pPr>
            <w:r>
              <w:rPr>
                <w:color w:val="0E101A"/>
              </w:rPr>
              <w:t>Which local brand of face wash do you use most frequently?</w:t>
            </w:r>
          </w:p>
        </w:tc>
        <w:tc>
          <w:tcPr>
            <w:tcW w:w="2880" w:type="dxa"/>
          </w:tcPr>
          <w:p w:rsidR="003451D7" w:rsidRDefault="00715CE0">
            <w:pPr>
              <w:pStyle w:val="NormalWeb"/>
              <w:spacing w:line="360" w:lineRule="auto"/>
              <w:rPr>
                <w:color w:val="0E101A"/>
              </w:rPr>
            </w:pPr>
            <w:r>
              <w:rPr>
                <w:color w:val="0E101A"/>
              </w:rPr>
              <w:t>(Please specify)</w:t>
            </w:r>
          </w:p>
        </w:tc>
        <w:tc>
          <w:tcPr>
            <w:tcW w:w="3510" w:type="dxa"/>
          </w:tcPr>
          <w:p w:rsidR="003451D7" w:rsidRDefault="00715CE0">
            <w:pPr>
              <w:pStyle w:val="NormalWeb"/>
              <w:spacing w:line="360" w:lineRule="auto"/>
              <w:rPr>
                <w:color w:val="0E101A"/>
              </w:rPr>
            </w:pPr>
            <w:r>
              <w:rPr>
                <w:color w:val="0E101A"/>
              </w:rPr>
              <w:t>Naqvi, S. S. S., Akaram, W., Mehmood, Y., Bashir, I., &amp; Saleem, N. (2017). Eye and eyelid infection among females using kajal and mascara. </w:t>
            </w:r>
          </w:p>
        </w:tc>
      </w:tr>
      <w:tr w:rsidR="003451D7">
        <w:tc>
          <w:tcPr>
            <w:tcW w:w="3528" w:type="dxa"/>
          </w:tcPr>
          <w:p w:rsidR="003451D7" w:rsidRDefault="00715CE0">
            <w:pPr>
              <w:pStyle w:val="NormalWeb"/>
              <w:spacing w:line="360" w:lineRule="auto"/>
              <w:rPr>
                <w:color w:val="0E101A"/>
              </w:rPr>
            </w:pPr>
            <w:r>
              <w:rPr>
                <w:color w:val="0E101A"/>
              </w:rPr>
              <w:t>What are the main reasons for using face wash?</w:t>
            </w:r>
          </w:p>
        </w:tc>
        <w:tc>
          <w:tcPr>
            <w:tcW w:w="2880" w:type="dxa"/>
          </w:tcPr>
          <w:p w:rsidR="003451D7" w:rsidRDefault="00715CE0">
            <w:pPr>
              <w:pStyle w:val="NormalWeb"/>
              <w:rPr>
                <w:color w:val="0E101A"/>
              </w:rPr>
            </w:pPr>
            <w:r>
              <w:rPr>
                <w:color w:val="0E101A"/>
              </w:rPr>
              <w:t xml:space="preserve">- Skin tone lightening </w:t>
            </w:r>
          </w:p>
          <w:p w:rsidR="003451D7" w:rsidRDefault="00715CE0">
            <w:pPr>
              <w:pStyle w:val="NormalWeb"/>
              <w:rPr>
                <w:color w:val="0E101A"/>
              </w:rPr>
            </w:pPr>
            <w:r>
              <w:rPr>
                <w:color w:val="0E101A"/>
              </w:rPr>
              <w:t xml:space="preserve">- Dark spots or pigmentation reduction </w:t>
            </w:r>
          </w:p>
          <w:p w:rsidR="003451D7" w:rsidRDefault="00715CE0">
            <w:pPr>
              <w:pStyle w:val="NormalWeb"/>
              <w:rPr>
                <w:color w:val="0E101A"/>
              </w:rPr>
            </w:pPr>
            <w:r>
              <w:rPr>
                <w:color w:val="0E101A"/>
              </w:rPr>
              <w:t xml:space="preserve">- Acne reduction </w:t>
            </w:r>
          </w:p>
          <w:p w:rsidR="003451D7" w:rsidRDefault="00715CE0">
            <w:pPr>
              <w:pStyle w:val="NormalWeb"/>
              <w:rPr>
                <w:color w:val="0E101A"/>
              </w:rPr>
            </w:pPr>
            <w:r>
              <w:rPr>
                <w:color w:val="0E101A"/>
              </w:rPr>
              <w:t>- Other (Please specify)</w:t>
            </w:r>
          </w:p>
        </w:tc>
        <w:tc>
          <w:tcPr>
            <w:tcW w:w="3510" w:type="dxa"/>
          </w:tcPr>
          <w:p w:rsidR="003451D7" w:rsidRDefault="003451D7">
            <w:pPr>
              <w:pStyle w:val="NormalWeb"/>
              <w:spacing w:before="0" w:beforeAutospacing="0" w:after="0" w:afterAutospacing="0" w:line="360" w:lineRule="auto"/>
              <w:rPr>
                <w:color w:val="0E101A"/>
              </w:rPr>
            </w:pPr>
          </w:p>
        </w:tc>
      </w:tr>
      <w:tr w:rsidR="003451D7">
        <w:tc>
          <w:tcPr>
            <w:tcW w:w="3528" w:type="dxa"/>
          </w:tcPr>
          <w:p w:rsidR="003451D7" w:rsidRDefault="00715CE0">
            <w:pPr>
              <w:pStyle w:val="NormalWeb"/>
              <w:spacing w:line="360" w:lineRule="auto"/>
              <w:rPr>
                <w:color w:val="0E101A"/>
              </w:rPr>
            </w:pPr>
            <w:r>
              <w:rPr>
                <w:color w:val="0E101A"/>
              </w:rPr>
              <w:t>Are you aware of the ingredients used in face wash?</w:t>
            </w:r>
          </w:p>
        </w:tc>
        <w:tc>
          <w:tcPr>
            <w:tcW w:w="2880" w:type="dxa"/>
          </w:tcPr>
          <w:p w:rsidR="003451D7" w:rsidRDefault="00715CE0">
            <w:pPr>
              <w:pStyle w:val="NormalWeb"/>
              <w:rPr>
                <w:color w:val="0E101A"/>
              </w:rPr>
            </w:pPr>
            <w:r>
              <w:rPr>
                <w:color w:val="0E101A"/>
              </w:rPr>
              <w:t>- Yes</w:t>
            </w:r>
          </w:p>
          <w:p w:rsidR="003451D7" w:rsidRDefault="00715CE0">
            <w:pPr>
              <w:pStyle w:val="NormalWeb"/>
              <w:rPr>
                <w:color w:val="0E101A"/>
              </w:rPr>
            </w:pPr>
            <w:r>
              <w:rPr>
                <w:color w:val="0E101A"/>
              </w:rPr>
              <w:t xml:space="preserve">- No   </w:t>
            </w:r>
          </w:p>
        </w:tc>
        <w:tc>
          <w:tcPr>
            <w:tcW w:w="3510" w:type="dxa"/>
          </w:tcPr>
          <w:p w:rsidR="003451D7" w:rsidRDefault="00715CE0">
            <w:pPr>
              <w:pStyle w:val="NormalWeb"/>
              <w:spacing w:line="360" w:lineRule="auto"/>
              <w:rPr>
                <w:color w:val="0E101A"/>
              </w:rPr>
            </w:pPr>
            <w:r>
              <w:rPr>
                <w:color w:val="0E101A"/>
              </w:rPr>
              <w:t>Exposure method development for risk assessment to cosmetic products using a standard composition by Chevillotte et al., 2014).</w:t>
            </w:r>
          </w:p>
        </w:tc>
      </w:tr>
      <w:tr w:rsidR="003451D7">
        <w:tc>
          <w:tcPr>
            <w:tcW w:w="3528" w:type="dxa"/>
          </w:tcPr>
          <w:p w:rsidR="003451D7" w:rsidRDefault="00715CE0">
            <w:pPr>
              <w:pStyle w:val="NormalWeb"/>
              <w:spacing w:line="360" w:lineRule="auto"/>
              <w:rPr>
                <w:color w:val="0E101A"/>
              </w:rPr>
            </w:pPr>
            <w:r>
              <w:rPr>
                <w:color w:val="0E101A"/>
              </w:rPr>
              <w:t>Have you heard of the following harmful substances in face wash?</w:t>
            </w:r>
          </w:p>
        </w:tc>
        <w:tc>
          <w:tcPr>
            <w:tcW w:w="2880" w:type="dxa"/>
          </w:tcPr>
          <w:p w:rsidR="003451D7" w:rsidRDefault="00715CE0">
            <w:pPr>
              <w:pStyle w:val="NormalWeb"/>
              <w:rPr>
                <w:color w:val="0E101A"/>
              </w:rPr>
            </w:pPr>
            <w:r>
              <w:rPr>
                <w:color w:val="0E101A"/>
              </w:rPr>
              <w:t>- Heavy metals</w:t>
            </w:r>
          </w:p>
          <w:p w:rsidR="003451D7" w:rsidRDefault="00715CE0">
            <w:pPr>
              <w:pStyle w:val="NormalWeb"/>
              <w:rPr>
                <w:color w:val="0E101A"/>
              </w:rPr>
            </w:pPr>
            <w:r>
              <w:rPr>
                <w:color w:val="0E101A"/>
              </w:rPr>
              <w:t>- Steroids</w:t>
            </w:r>
          </w:p>
          <w:p w:rsidR="003451D7" w:rsidRDefault="00715CE0">
            <w:pPr>
              <w:pStyle w:val="NormalWeb"/>
              <w:rPr>
                <w:color w:val="0E101A"/>
              </w:rPr>
            </w:pPr>
            <w:r>
              <w:rPr>
                <w:color w:val="0E101A"/>
              </w:rPr>
              <w:t>- Both</w:t>
            </w:r>
          </w:p>
          <w:p w:rsidR="003451D7" w:rsidRDefault="00715CE0">
            <w:pPr>
              <w:pStyle w:val="NormalWeb"/>
              <w:rPr>
                <w:color w:val="0E101A"/>
              </w:rPr>
            </w:pPr>
            <w:r>
              <w:rPr>
                <w:color w:val="0E101A"/>
              </w:rPr>
              <w:t>- I don’t know about any harmful substances.</w:t>
            </w:r>
          </w:p>
          <w:p w:rsidR="003451D7" w:rsidRDefault="003451D7">
            <w:pPr>
              <w:pStyle w:val="NormalWeb"/>
              <w:rPr>
                <w:color w:val="0E101A"/>
              </w:rPr>
            </w:pPr>
          </w:p>
        </w:tc>
        <w:tc>
          <w:tcPr>
            <w:tcW w:w="3510" w:type="dxa"/>
          </w:tcPr>
          <w:p w:rsidR="003451D7" w:rsidRDefault="00715CE0">
            <w:pPr>
              <w:pStyle w:val="NormalWeb"/>
              <w:spacing w:line="360" w:lineRule="auto"/>
              <w:rPr>
                <w:color w:val="0E101A"/>
              </w:rPr>
            </w:pPr>
            <w:r>
              <w:rPr>
                <w:color w:val="0E101A"/>
              </w:rPr>
              <w:t>Di Giovanni, C., Arcoraci, V., Gambardella, L., &amp; Sautebin, L. (2006). Cosmetovigilance survey: are cosmetics considered safe by consumers?</w:t>
            </w:r>
          </w:p>
          <w:p w:rsidR="003451D7" w:rsidRDefault="003451D7">
            <w:pPr>
              <w:pStyle w:val="NormalWeb"/>
              <w:spacing w:before="0" w:beforeAutospacing="0" w:after="0" w:afterAutospacing="0" w:line="360" w:lineRule="auto"/>
              <w:rPr>
                <w:color w:val="0E101A"/>
              </w:rPr>
            </w:pPr>
          </w:p>
        </w:tc>
      </w:tr>
      <w:tr w:rsidR="003451D7">
        <w:tc>
          <w:tcPr>
            <w:tcW w:w="3528" w:type="dxa"/>
          </w:tcPr>
          <w:p w:rsidR="003451D7" w:rsidRDefault="00715CE0">
            <w:pPr>
              <w:pStyle w:val="NormalWeb"/>
              <w:spacing w:line="360" w:lineRule="auto"/>
              <w:rPr>
                <w:color w:val="0E101A"/>
              </w:rPr>
            </w:pPr>
            <w:r>
              <w:rPr>
                <w:color w:val="0E101A"/>
              </w:rPr>
              <w:t xml:space="preserve">Are you aware of any long-term health risks linked to the use of </w:t>
            </w:r>
            <w:r>
              <w:rPr>
                <w:color w:val="0E101A"/>
              </w:rPr>
              <w:lastRenderedPageBreak/>
              <w:t>face wash (e.g., skin thinning, skin infection)?</w:t>
            </w:r>
          </w:p>
        </w:tc>
        <w:tc>
          <w:tcPr>
            <w:tcW w:w="2880" w:type="dxa"/>
          </w:tcPr>
          <w:p w:rsidR="003451D7" w:rsidRDefault="00715CE0">
            <w:pPr>
              <w:pStyle w:val="NormalWeb"/>
              <w:rPr>
                <w:color w:val="0E101A"/>
              </w:rPr>
            </w:pPr>
            <w:r>
              <w:rPr>
                <w:color w:val="0E101A"/>
              </w:rPr>
              <w:lastRenderedPageBreak/>
              <w:t>-Yes</w:t>
            </w:r>
          </w:p>
          <w:p w:rsidR="003451D7" w:rsidRDefault="00715CE0">
            <w:pPr>
              <w:pStyle w:val="NormalWeb"/>
              <w:rPr>
                <w:color w:val="0E101A"/>
              </w:rPr>
            </w:pPr>
            <w:r>
              <w:rPr>
                <w:color w:val="0E101A"/>
              </w:rPr>
              <w:lastRenderedPageBreak/>
              <w:t>-No</w:t>
            </w:r>
          </w:p>
          <w:p w:rsidR="003451D7" w:rsidRDefault="003451D7">
            <w:pPr>
              <w:pStyle w:val="NormalWeb"/>
              <w:spacing w:before="0" w:beforeAutospacing="0" w:after="0" w:afterAutospacing="0" w:line="360" w:lineRule="auto"/>
              <w:rPr>
                <w:color w:val="0E101A"/>
              </w:rPr>
            </w:pPr>
          </w:p>
        </w:tc>
        <w:tc>
          <w:tcPr>
            <w:tcW w:w="3510" w:type="dxa"/>
          </w:tcPr>
          <w:p w:rsidR="003451D7" w:rsidRDefault="003451D7">
            <w:pPr>
              <w:pStyle w:val="NormalWeb"/>
              <w:spacing w:before="0" w:beforeAutospacing="0" w:after="0" w:afterAutospacing="0" w:line="360" w:lineRule="auto"/>
              <w:rPr>
                <w:color w:val="0E101A"/>
              </w:rPr>
            </w:pPr>
          </w:p>
        </w:tc>
      </w:tr>
      <w:tr w:rsidR="003451D7">
        <w:tc>
          <w:tcPr>
            <w:tcW w:w="3528" w:type="dxa"/>
          </w:tcPr>
          <w:p w:rsidR="003451D7" w:rsidRDefault="00715CE0">
            <w:pPr>
              <w:pStyle w:val="NormalWeb"/>
              <w:spacing w:line="360" w:lineRule="auto"/>
              <w:rPr>
                <w:color w:val="0E101A"/>
              </w:rPr>
            </w:pPr>
            <w:r>
              <w:rPr>
                <w:color w:val="0E101A"/>
              </w:rPr>
              <w:t>Have you ever experienced any of the following side effects from using face wash?</w:t>
            </w:r>
          </w:p>
        </w:tc>
        <w:tc>
          <w:tcPr>
            <w:tcW w:w="2880" w:type="dxa"/>
          </w:tcPr>
          <w:p w:rsidR="003451D7" w:rsidRDefault="00715CE0">
            <w:pPr>
              <w:pStyle w:val="NormalWeb"/>
              <w:rPr>
                <w:color w:val="0E101A"/>
              </w:rPr>
            </w:pPr>
            <w:r>
              <w:rPr>
                <w:color w:val="0E101A"/>
              </w:rPr>
              <w:t>- Skin irritation (itching, burning)</w:t>
            </w:r>
          </w:p>
          <w:p w:rsidR="003451D7" w:rsidRDefault="00715CE0">
            <w:pPr>
              <w:pStyle w:val="NormalWeb"/>
              <w:rPr>
                <w:color w:val="0E101A"/>
              </w:rPr>
            </w:pPr>
            <w:r>
              <w:rPr>
                <w:color w:val="0E101A"/>
              </w:rPr>
              <w:t>- Redness or rashes</w:t>
            </w:r>
          </w:p>
          <w:p w:rsidR="003451D7" w:rsidRDefault="00715CE0">
            <w:pPr>
              <w:pStyle w:val="NormalWeb"/>
              <w:rPr>
                <w:color w:val="0E101A"/>
              </w:rPr>
            </w:pPr>
            <w:r>
              <w:rPr>
                <w:color w:val="0E101A"/>
              </w:rPr>
              <w:t>- Darkening of the skin</w:t>
            </w:r>
          </w:p>
          <w:p w:rsidR="003451D7" w:rsidRDefault="00715CE0">
            <w:pPr>
              <w:pStyle w:val="NormalWeb"/>
              <w:rPr>
                <w:color w:val="0E101A"/>
              </w:rPr>
            </w:pPr>
            <w:r>
              <w:rPr>
                <w:color w:val="0E101A"/>
              </w:rPr>
              <w:t>- Acne or pimples</w:t>
            </w:r>
          </w:p>
          <w:p w:rsidR="003451D7" w:rsidRDefault="00715CE0">
            <w:pPr>
              <w:pStyle w:val="NormalWeb"/>
              <w:rPr>
                <w:color w:val="0E101A"/>
              </w:rPr>
            </w:pPr>
            <w:r>
              <w:rPr>
                <w:color w:val="0E101A"/>
              </w:rPr>
              <w:t>- Thinning of the skin</w:t>
            </w:r>
          </w:p>
        </w:tc>
        <w:tc>
          <w:tcPr>
            <w:tcW w:w="3510" w:type="dxa"/>
          </w:tcPr>
          <w:p w:rsidR="003451D7" w:rsidRDefault="00715CE0">
            <w:pPr>
              <w:pStyle w:val="NormalWeb"/>
              <w:spacing w:before="0" w:beforeAutospacing="0" w:after="0" w:afterAutospacing="0" w:line="360" w:lineRule="auto"/>
              <w:rPr>
                <w:color w:val="0E101A"/>
              </w:rPr>
            </w:pPr>
            <w:r>
              <w:rPr>
                <w:color w:val="0E101A"/>
              </w:rPr>
              <w:t>Tejal, P., Nishan, D., Amisha, J., Umesh, G., Desai, K. T., &amp; Bansal, R. K. (2013). Cosmetics and health: usage, perceptions and awareness. </w:t>
            </w:r>
          </w:p>
        </w:tc>
      </w:tr>
      <w:tr w:rsidR="003451D7">
        <w:tc>
          <w:tcPr>
            <w:tcW w:w="3528" w:type="dxa"/>
          </w:tcPr>
          <w:p w:rsidR="003451D7" w:rsidRDefault="00715CE0">
            <w:pPr>
              <w:pStyle w:val="NormalWeb"/>
              <w:rPr>
                <w:color w:val="0E101A"/>
              </w:rPr>
            </w:pPr>
            <w:r>
              <w:rPr>
                <w:color w:val="0E101A"/>
              </w:rPr>
              <w:t>Do you believe heavy metals and steroids are used in face wash due to lack of regulation in Pakistan?</w:t>
            </w:r>
          </w:p>
        </w:tc>
        <w:tc>
          <w:tcPr>
            <w:tcW w:w="2880" w:type="dxa"/>
          </w:tcPr>
          <w:p w:rsidR="003451D7" w:rsidRDefault="00715CE0">
            <w:pPr>
              <w:pStyle w:val="NormalWeb"/>
              <w:rPr>
                <w:color w:val="0E101A"/>
              </w:rPr>
            </w:pPr>
            <w:r>
              <w:rPr>
                <w:color w:val="0E101A"/>
              </w:rPr>
              <w:t>- Yes</w:t>
            </w:r>
          </w:p>
          <w:p w:rsidR="003451D7" w:rsidRDefault="00715CE0">
            <w:pPr>
              <w:pStyle w:val="NormalWeb"/>
              <w:rPr>
                <w:color w:val="0E101A"/>
              </w:rPr>
            </w:pPr>
            <w:r>
              <w:rPr>
                <w:color w:val="0E101A"/>
              </w:rPr>
              <w:t>- No</w:t>
            </w:r>
          </w:p>
        </w:tc>
        <w:tc>
          <w:tcPr>
            <w:tcW w:w="3510" w:type="dxa"/>
          </w:tcPr>
          <w:p w:rsidR="003451D7" w:rsidRDefault="003451D7">
            <w:pPr>
              <w:pStyle w:val="NormalWeb"/>
              <w:spacing w:line="360" w:lineRule="auto"/>
              <w:rPr>
                <w:color w:val="0E101A"/>
              </w:rPr>
            </w:pPr>
          </w:p>
        </w:tc>
      </w:tr>
    </w:tbl>
    <w:p w:rsidR="003451D7" w:rsidRDefault="003451D7">
      <w:pPr>
        <w:pStyle w:val="NormalWeb"/>
        <w:spacing w:before="0" w:beforeAutospacing="0" w:after="0" w:afterAutospacing="0" w:line="360" w:lineRule="auto"/>
        <w:rPr>
          <w:color w:val="0E101A"/>
        </w:rPr>
      </w:pPr>
    </w:p>
    <w:p w:rsidR="003451D7" w:rsidRDefault="003451D7">
      <w:pPr>
        <w:spacing w:before="240" w:line="276" w:lineRule="auto"/>
        <w:jc w:val="both"/>
        <w:rPr>
          <w:rFonts w:ascii="Times New Roman" w:hAnsi="Times New Roman" w:cs="Times New Roman"/>
          <w:sz w:val="24"/>
          <w:szCs w:val="24"/>
        </w:rPr>
      </w:pPr>
    </w:p>
    <w:sectPr w:rsidR="003451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73C3" w:rsidRDefault="001373C3">
      <w:pPr>
        <w:spacing w:line="240" w:lineRule="auto"/>
      </w:pPr>
      <w:r>
        <w:separator/>
      </w:r>
    </w:p>
  </w:endnote>
  <w:endnote w:type="continuationSeparator" w:id="0">
    <w:p w:rsidR="001373C3" w:rsidRDefault="001373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ESRI AMFM Electric"/>
    <w:charset w:val="00"/>
    <w:family w:val="swiss"/>
    <w:pitch w:val="default"/>
    <w:sig w:usb0="00000000" w:usb1="00000000"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等线 Light">
    <w:altName w:val="ESRI AMFM Electric"/>
    <w:charset w:val="00"/>
    <w:family w:val="auto"/>
    <w:pitch w:val="default"/>
  </w:font>
  <w:font w:name="Segoe UI">
    <w:panose1 w:val="020B0502040204020203"/>
    <w:charset w:val="00"/>
    <w:family w:val="swiss"/>
    <w:pitch w:val="variable"/>
    <w:sig w:usb0="E10022FF" w:usb1="C000E47F" w:usb2="00000029" w:usb3="00000000" w:csb0="000001DF" w:csb1="00000000"/>
  </w:font>
  <w:font w:name="Aptos Display">
    <w:altName w:val="Arial"/>
    <w:charset w:val="00"/>
    <w:family w:val="swiss"/>
    <w:pitch w:val="default"/>
    <w:sig w:usb0="00000000" w:usb1="00000000" w:usb2="00000000" w:usb3="00000000" w:csb0="0000019F" w:csb1="00000000"/>
  </w:font>
  <w:font w:name="等线">
    <w:altName w:val="Arial Unicode MS"/>
    <w:charset w:val="00"/>
    <w:family w:val="auto"/>
    <w:pitch w:val="default"/>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3C3" w:rsidRDefault="001373C3">
    <w:pPr>
      <w:pStyle w:val="Footer"/>
      <w:jc w:val="right"/>
      <w:rPr>
        <w:rFonts w:ascii="Times New Roman" w:hAnsi="Times New Roman" w:cs="Times New Roman"/>
        <w:b/>
        <w:bCs/>
        <w:sz w:val="24"/>
        <w:szCs w:val="24"/>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PAGE   \* MERGEFORMAT </w:instrText>
    </w:r>
    <w:r>
      <w:rPr>
        <w:rFonts w:ascii="Times New Roman" w:hAnsi="Times New Roman" w:cs="Times New Roman"/>
        <w:b/>
        <w:bCs/>
        <w:sz w:val="24"/>
        <w:szCs w:val="24"/>
      </w:rPr>
      <w:fldChar w:fldCharType="separate"/>
    </w:r>
    <w:r w:rsidR="00DE5BAE">
      <w:rPr>
        <w:rFonts w:ascii="Times New Roman" w:hAnsi="Times New Roman" w:cs="Times New Roman"/>
        <w:b/>
        <w:bCs/>
        <w:noProof/>
        <w:sz w:val="24"/>
        <w:szCs w:val="24"/>
      </w:rPr>
      <w:t>ix</w:t>
    </w:r>
    <w:r>
      <w:rPr>
        <w:rFonts w:ascii="Times New Roman" w:hAnsi="Times New Roman" w:cs="Times New Roman"/>
        <w:b/>
        <w:bCs/>
        <w:sz w:val="24"/>
        <w:szCs w:val="24"/>
      </w:rPr>
      <w:fldChar w:fldCharType="end"/>
    </w:r>
  </w:p>
  <w:p w:rsidR="001373C3" w:rsidRDefault="001373C3">
    <w:pPr>
      <w:pStyle w:val="Footer"/>
      <w:tabs>
        <w:tab w:val="clear" w:pos="4680"/>
        <w:tab w:val="clear" w:pos="9360"/>
      </w:tabs>
      <w:rPr>
        <w:rFonts w:ascii="Times New Roman" w:hAnsi="Times New Roman" w:cs="Times New Roman"/>
        <w:b/>
        <w:bCs/>
        <w:caps/>
        <w:color w:val="5B9BD5" w:themeColor="accent1"/>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3C3" w:rsidRDefault="001373C3">
    <w:pPr>
      <w:pStyle w:val="Footer"/>
      <w:jc w:val="right"/>
    </w:pPr>
    <w:r>
      <w:fldChar w:fldCharType="begin"/>
    </w:r>
    <w:r>
      <w:instrText xml:space="preserve"> PAGE   \* MERGEFORMAT </w:instrText>
    </w:r>
    <w:r>
      <w:fldChar w:fldCharType="separate"/>
    </w:r>
    <w:r>
      <w:t>2</w:t>
    </w:r>
    <w:r>
      <w:fldChar w:fldCharType="end"/>
    </w:r>
  </w:p>
  <w:p w:rsidR="001373C3" w:rsidRDefault="001373C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3C3" w:rsidRDefault="001373C3">
    <w:pPr>
      <w:pStyle w:val="Footer"/>
      <w:jc w:val="right"/>
      <w:rPr>
        <w:rFonts w:ascii="Times New Roman" w:hAnsi="Times New Roman" w:cs="Times New Roman"/>
        <w:b/>
        <w:bCs/>
        <w:sz w:val="24"/>
        <w:szCs w:val="24"/>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PAGE   \* MERGEFORMAT </w:instrText>
    </w:r>
    <w:r>
      <w:rPr>
        <w:rFonts w:ascii="Times New Roman" w:hAnsi="Times New Roman" w:cs="Times New Roman"/>
        <w:b/>
        <w:bCs/>
        <w:sz w:val="24"/>
        <w:szCs w:val="24"/>
      </w:rPr>
      <w:fldChar w:fldCharType="separate"/>
    </w:r>
    <w:r w:rsidR="00DE5BAE">
      <w:rPr>
        <w:rFonts w:ascii="Times New Roman" w:hAnsi="Times New Roman" w:cs="Times New Roman"/>
        <w:b/>
        <w:bCs/>
        <w:noProof/>
        <w:sz w:val="24"/>
        <w:szCs w:val="24"/>
      </w:rPr>
      <w:t>62</w:t>
    </w:r>
    <w:r>
      <w:rPr>
        <w:rFonts w:ascii="Times New Roman" w:hAnsi="Times New Roman" w:cs="Times New Roman"/>
        <w:b/>
        <w:bCs/>
        <w:sz w:val="24"/>
        <w:szCs w:val="24"/>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3C3" w:rsidRDefault="001373C3">
    <w:pPr>
      <w:pStyle w:val="Footer"/>
      <w:jc w:val="right"/>
      <w:rPr>
        <w:rFonts w:ascii="Times New Roman" w:hAnsi="Times New Roman" w:cs="Times New Roman"/>
        <w:b/>
        <w:bCs/>
        <w:sz w:val="24"/>
        <w:szCs w:val="24"/>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PAGE   \* MERGEFORMAT </w:instrText>
    </w:r>
    <w:r>
      <w:rPr>
        <w:rFonts w:ascii="Times New Roman" w:hAnsi="Times New Roman" w:cs="Times New Roman"/>
        <w:b/>
        <w:bCs/>
        <w:sz w:val="24"/>
        <w:szCs w:val="24"/>
      </w:rPr>
      <w:fldChar w:fldCharType="separate"/>
    </w:r>
    <w:r w:rsidR="00DE5BAE">
      <w:rPr>
        <w:rFonts w:ascii="Times New Roman" w:hAnsi="Times New Roman" w:cs="Times New Roman"/>
        <w:b/>
        <w:bCs/>
        <w:noProof/>
        <w:sz w:val="24"/>
        <w:szCs w:val="24"/>
      </w:rPr>
      <w:t>1</w:t>
    </w:r>
    <w:r>
      <w:rPr>
        <w:rFonts w:ascii="Times New Roman" w:hAnsi="Times New Roman" w:cs="Times New Roman"/>
        <w:b/>
        <w:bCs/>
        <w:sz w:val="24"/>
        <w:szCs w:val="24"/>
      </w:rPr>
      <w:fldChar w:fldCharType="end"/>
    </w:r>
  </w:p>
  <w:p w:rsidR="001373C3" w:rsidRDefault="001373C3">
    <w:pPr>
      <w:pStyle w:val="Footer"/>
      <w:rPr>
        <w:rFonts w:ascii="Times New Roman" w:hAnsi="Times New Roman" w:cs="Times New Roman"/>
        <w:b/>
        <w:bCs/>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73C3" w:rsidRDefault="001373C3">
      <w:pPr>
        <w:spacing w:after="0"/>
      </w:pPr>
      <w:r>
        <w:separator/>
      </w:r>
    </w:p>
  </w:footnote>
  <w:footnote w:type="continuationSeparator" w:id="0">
    <w:p w:rsidR="001373C3" w:rsidRDefault="001373C3">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E24BCA"/>
    <w:multiLevelType w:val="multilevel"/>
    <w:tmpl w:val="09E24BC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309B601D"/>
    <w:multiLevelType w:val="multilevel"/>
    <w:tmpl w:val="309B601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309E669D"/>
    <w:multiLevelType w:val="multilevel"/>
    <w:tmpl w:val="309E669D"/>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D85289C"/>
    <w:multiLevelType w:val="multilevel"/>
    <w:tmpl w:val="4D85289C"/>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230243C"/>
    <w:multiLevelType w:val="multilevel"/>
    <w:tmpl w:val="6230243C"/>
    <w:lvl w:ilvl="0">
      <w:start w:val="1"/>
      <w:numFmt w:val="decimal"/>
      <w:pStyle w:val="Heading1"/>
      <w:lvlText w:val="%1"/>
      <w:lvlJc w:val="left"/>
      <w:pPr>
        <w:ind w:left="432" w:hanging="432"/>
      </w:pPr>
    </w:lvl>
    <w:lvl w:ilvl="1">
      <w:start w:val="1"/>
      <w:numFmt w:val="decimal"/>
      <w:pStyle w:val="Heading2"/>
      <w:lvlText w:val="%1.%2"/>
      <w:lvlJc w:val="left"/>
      <w:pPr>
        <w:ind w:left="576" w:hanging="576"/>
      </w:pPr>
      <w:rPr>
        <w:rFonts w:ascii="Times New Roman" w:hAnsi="Times New Roman" w:cs="Times New Roman" w:hint="default"/>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6CAE1929"/>
    <w:multiLevelType w:val="multilevel"/>
    <w:tmpl w:val="6CAE192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3"/>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xMDI0srAwMzKyMDE2NzFU0lEKTi0uzszPAykwqgUAhehyuywAAAA="/>
  </w:docVars>
  <w:rsids>
    <w:rsidRoot w:val="00483641"/>
    <w:rsid w:val="00002C47"/>
    <w:rsid w:val="00006894"/>
    <w:rsid w:val="0001109D"/>
    <w:rsid w:val="00013503"/>
    <w:rsid w:val="000143A9"/>
    <w:rsid w:val="0001594E"/>
    <w:rsid w:val="0002533B"/>
    <w:rsid w:val="00034793"/>
    <w:rsid w:val="00043E7A"/>
    <w:rsid w:val="0005481F"/>
    <w:rsid w:val="00055FDE"/>
    <w:rsid w:val="000569C2"/>
    <w:rsid w:val="000618A6"/>
    <w:rsid w:val="00072D41"/>
    <w:rsid w:val="00074A30"/>
    <w:rsid w:val="00075AA4"/>
    <w:rsid w:val="000938DD"/>
    <w:rsid w:val="00096311"/>
    <w:rsid w:val="000A0432"/>
    <w:rsid w:val="000A2916"/>
    <w:rsid w:val="000A2FEE"/>
    <w:rsid w:val="000A4AB3"/>
    <w:rsid w:val="000C0FA1"/>
    <w:rsid w:val="000C38C8"/>
    <w:rsid w:val="000C5ADD"/>
    <w:rsid w:val="000C76DE"/>
    <w:rsid w:val="000D2902"/>
    <w:rsid w:val="000D3CD0"/>
    <w:rsid w:val="000D6F28"/>
    <w:rsid w:val="000E01A3"/>
    <w:rsid w:val="000E142B"/>
    <w:rsid w:val="000E4A83"/>
    <w:rsid w:val="000E76E3"/>
    <w:rsid w:val="000F486F"/>
    <w:rsid w:val="000F5EB5"/>
    <w:rsid w:val="00100197"/>
    <w:rsid w:val="0010197D"/>
    <w:rsid w:val="0010722F"/>
    <w:rsid w:val="0011249A"/>
    <w:rsid w:val="00114363"/>
    <w:rsid w:val="00116EFA"/>
    <w:rsid w:val="00120E0D"/>
    <w:rsid w:val="00125ED0"/>
    <w:rsid w:val="001261BD"/>
    <w:rsid w:val="00126633"/>
    <w:rsid w:val="001320A6"/>
    <w:rsid w:val="001338A3"/>
    <w:rsid w:val="001362FC"/>
    <w:rsid w:val="001373C3"/>
    <w:rsid w:val="0014050C"/>
    <w:rsid w:val="00141048"/>
    <w:rsid w:val="00141E79"/>
    <w:rsid w:val="00142D15"/>
    <w:rsid w:val="00150893"/>
    <w:rsid w:val="00155421"/>
    <w:rsid w:val="001631D0"/>
    <w:rsid w:val="0016471F"/>
    <w:rsid w:val="0016787D"/>
    <w:rsid w:val="001700A5"/>
    <w:rsid w:val="00170CCA"/>
    <w:rsid w:val="00175225"/>
    <w:rsid w:val="001805EE"/>
    <w:rsid w:val="0018064E"/>
    <w:rsid w:val="00180A02"/>
    <w:rsid w:val="00180E67"/>
    <w:rsid w:val="00187C54"/>
    <w:rsid w:val="00191AE7"/>
    <w:rsid w:val="00193812"/>
    <w:rsid w:val="00194F6A"/>
    <w:rsid w:val="001952F0"/>
    <w:rsid w:val="001B56FD"/>
    <w:rsid w:val="001B5704"/>
    <w:rsid w:val="001B570A"/>
    <w:rsid w:val="001C40E4"/>
    <w:rsid w:val="001D1B17"/>
    <w:rsid w:val="001D23E5"/>
    <w:rsid w:val="001D4597"/>
    <w:rsid w:val="001D71FD"/>
    <w:rsid w:val="001D79A0"/>
    <w:rsid w:val="001E4039"/>
    <w:rsid w:val="001E72FF"/>
    <w:rsid w:val="001F1E71"/>
    <w:rsid w:val="001F690A"/>
    <w:rsid w:val="001F78C7"/>
    <w:rsid w:val="00204374"/>
    <w:rsid w:val="0020702E"/>
    <w:rsid w:val="002117E0"/>
    <w:rsid w:val="0021193F"/>
    <w:rsid w:val="00217C55"/>
    <w:rsid w:val="00221F63"/>
    <w:rsid w:val="002220DB"/>
    <w:rsid w:val="002269EB"/>
    <w:rsid w:val="00233C2C"/>
    <w:rsid w:val="00234F03"/>
    <w:rsid w:val="00236EE2"/>
    <w:rsid w:val="002422D3"/>
    <w:rsid w:val="0024297D"/>
    <w:rsid w:val="00245804"/>
    <w:rsid w:val="00245853"/>
    <w:rsid w:val="0025161D"/>
    <w:rsid w:val="00253269"/>
    <w:rsid w:val="00257945"/>
    <w:rsid w:val="002655AF"/>
    <w:rsid w:val="00280982"/>
    <w:rsid w:val="002842F0"/>
    <w:rsid w:val="00285D3B"/>
    <w:rsid w:val="0028687C"/>
    <w:rsid w:val="00290567"/>
    <w:rsid w:val="00292C81"/>
    <w:rsid w:val="00292F59"/>
    <w:rsid w:val="00295A7B"/>
    <w:rsid w:val="002B1840"/>
    <w:rsid w:val="002B5F35"/>
    <w:rsid w:val="002B797A"/>
    <w:rsid w:val="002C13D9"/>
    <w:rsid w:val="002C58D4"/>
    <w:rsid w:val="002D0D9A"/>
    <w:rsid w:val="002D780B"/>
    <w:rsid w:val="002E0898"/>
    <w:rsid w:val="002E18FC"/>
    <w:rsid w:val="002E7393"/>
    <w:rsid w:val="002F5DD8"/>
    <w:rsid w:val="00303CB4"/>
    <w:rsid w:val="0031027F"/>
    <w:rsid w:val="003123D5"/>
    <w:rsid w:val="00314DBF"/>
    <w:rsid w:val="00317F41"/>
    <w:rsid w:val="003214B0"/>
    <w:rsid w:val="0033545F"/>
    <w:rsid w:val="003449D1"/>
    <w:rsid w:val="00344FD4"/>
    <w:rsid w:val="003451D7"/>
    <w:rsid w:val="00346DD7"/>
    <w:rsid w:val="003510A7"/>
    <w:rsid w:val="003575CD"/>
    <w:rsid w:val="003664AC"/>
    <w:rsid w:val="00367B70"/>
    <w:rsid w:val="00370442"/>
    <w:rsid w:val="003725C3"/>
    <w:rsid w:val="003732DF"/>
    <w:rsid w:val="00377804"/>
    <w:rsid w:val="00385E24"/>
    <w:rsid w:val="00390B9C"/>
    <w:rsid w:val="0039447E"/>
    <w:rsid w:val="003965F1"/>
    <w:rsid w:val="003A0263"/>
    <w:rsid w:val="003A1CB8"/>
    <w:rsid w:val="003A2478"/>
    <w:rsid w:val="003A2EEE"/>
    <w:rsid w:val="003A3A49"/>
    <w:rsid w:val="003A48B7"/>
    <w:rsid w:val="003A61C9"/>
    <w:rsid w:val="003B13EC"/>
    <w:rsid w:val="003B3819"/>
    <w:rsid w:val="003B7063"/>
    <w:rsid w:val="003B7CF7"/>
    <w:rsid w:val="003C28D9"/>
    <w:rsid w:val="003C6133"/>
    <w:rsid w:val="003D291B"/>
    <w:rsid w:val="003D351A"/>
    <w:rsid w:val="003E5456"/>
    <w:rsid w:val="003E7B55"/>
    <w:rsid w:val="003F3D65"/>
    <w:rsid w:val="003F656D"/>
    <w:rsid w:val="003F762B"/>
    <w:rsid w:val="00403591"/>
    <w:rsid w:val="00403B10"/>
    <w:rsid w:val="0040414A"/>
    <w:rsid w:val="00404D25"/>
    <w:rsid w:val="00407A67"/>
    <w:rsid w:val="00433501"/>
    <w:rsid w:val="00435AB3"/>
    <w:rsid w:val="00441E9B"/>
    <w:rsid w:val="004461CA"/>
    <w:rsid w:val="00450A2F"/>
    <w:rsid w:val="00453020"/>
    <w:rsid w:val="00456A59"/>
    <w:rsid w:val="00461529"/>
    <w:rsid w:val="0046463E"/>
    <w:rsid w:val="00470DAA"/>
    <w:rsid w:val="00471211"/>
    <w:rsid w:val="00471ED4"/>
    <w:rsid w:val="00473FEE"/>
    <w:rsid w:val="00483641"/>
    <w:rsid w:val="00490A6E"/>
    <w:rsid w:val="00491294"/>
    <w:rsid w:val="00496743"/>
    <w:rsid w:val="004B449E"/>
    <w:rsid w:val="004B49DB"/>
    <w:rsid w:val="004B6266"/>
    <w:rsid w:val="004C39AE"/>
    <w:rsid w:val="004C39B9"/>
    <w:rsid w:val="004C5CD5"/>
    <w:rsid w:val="004D33EC"/>
    <w:rsid w:val="004D4630"/>
    <w:rsid w:val="004E3CC2"/>
    <w:rsid w:val="004F18A6"/>
    <w:rsid w:val="004F77B4"/>
    <w:rsid w:val="005109CE"/>
    <w:rsid w:val="005129D0"/>
    <w:rsid w:val="005130A6"/>
    <w:rsid w:val="0052018F"/>
    <w:rsid w:val="00522961"/>
    <w:rsid w:val="005250B9"/>
    <w:rsid w:val="00532CDC"/>
    <w:rsid w:val="00535D54"/>
    <w:rsid w:val="00537202"/>
    <w:rsid w:val="00537CAB"/>
    <w:rsid w:val="00541460"/>
    <w:rsid w:val="005478E6"/>
    <w:rsid w:val="0055484F"/>
    <w:rsid w:val="00555670"/>
    <w:rsid w:val="00557583"/>
    <w:rsid w:val="005671B8"/>
    <w:rsid w:val="0057079A"/>
    <w:rsid w:val="00572E1A"/>
    <w:rsid w:val="00574A5D"/>
    <w:rsid w:val="00576BAA"/>
    <w:rsid w:val="00577CF4"/>
    <w:rsid w:val="00584D91"/>
    <w:rsid w:val="00587A92"/>
    <w:rsid w:val="00596252"/>
    <w:rsid w:val="005B1873"/>
    <w:rsid w:val="005B46F2"/>
    <w:rsid w:val="005C022A"/>
    <w:rsid w:val="005C102D"/>
    <w:rsid w:val="005C2E78"/>
    <w:rsid w:val="005D142B"/>
    <w:rsid w:val="005D3AB2"/>
    <w:rsid w:val="005D495B"/>
    <w:rsid w:val="005D7527"/>
    <w:rsid w:val="005E188D"/>
    <w:rsid w:val="005E216E"/>
    <w:rsid w:val="005E43EA"/>
    <w:rsid w:val="005F4D1F"/>
    <w:rsid w:val="00600555"/>
    <w:rsid w:val="00600747"/>
    <w:rsid w:val="00602506"/>
    <w:rsid w:val="006054B3"/>
    <w:rsid w:val="00612561"/>
    <w:rsid w:val="006175BC"/>
    <w:rsid w:val="00625C52"/>
    <w:rsid w:val="00640701"/>
    <w:rsid w:val="0064631D"/>
    <w:rsid w:val="00651F48"/>
    <w:rsid w:val="00656907"/>
    <w:rsid w:val="006632E2"/>
    <w:rsid w:val="00670E5D"/>
    <w:rsid w:val="006724C6"/>
    <w:rsid w:val="006729DF"/>
    <w:rsid w:val="006730EA"/>
    <w:rsid w:val="00673BFC"/>
    <w:rsid w:val="00677EDB"/>
    <w:rsid w:val="0068193D"/>
    <w:rsid w:val="00682B5C"/>
    <w:rsid w:val="00697BBE"/>
    <w:rsid w:val="006A1007"/>
    <w:rsid w:val="006A35A9"/>
    <w:rsid w:val="006A6018"/>
    <w:rsid w:val="006A735A"/>
    <w:rsid w:val="006B03AE"/>
    <w:rsid w:val="006B3BD6"/>
    <w:rsid w:val="006C2F41"/>
    <w:rsid w:val="006C4D1D"/>
    <w:rsid w:val="006C5338"/>
    <w:rsid w:val="006D6958"/>
    <w:rsid w:val="006D6B98"/>
    <w:rsid w:val="006D7505"/>
    <w:rsid w:val="006F07DA"/>
    <w:rsid w:val="006F0CD9"/>
    <w:rsid w:val="006F38BF"/>
    <w:rsid w:val="006F41F0"/>
    <w:rsid w:val="00700286"/>
    <w:rsid w:val="00703304"/>
    <w:rsid w:val="00705FE3"/>
    <w:rsid w:val="007079E5"/>
    <w:rsid w:val="00715CE0"/>
    <w:rsid w:val="007222E3"/>
    <w:rsid w:val="00726F31"/>
    <w:rsid w:val="0073004D"/>
    <w:rsid w:val="00733B02"/>
    <w:rsid w:val="00734A16"/>
    <w:rsid w:val="00734AB4"/>
    <w:rsid w:val="0076082E"/>
    <w:rsid w:val="007609E4"/>
    <w:rsid w:val="0076156F"/>
    <w:rsid w:val="00765EA7"/>
    <w:rsid w:val="00767C2B"/>
    <w:rsid w:val="00771167"/>
    <w:rsid w:val="00771723"/>
    <w:rsid w:val="007717E9"/>
    <w:rsid w:val="00785753"/>
    <w:rsid w:val="00785994"/>
    <w:rsid w:val="00792080"/>
    <w:rsid w:val="00792371"/>
    <w:rsid w:val="00793FD1"/>
    <w:rsid w:val="0079672E"/>
    <w:rsid w:val="007A5563"/>
    <w:rsid w:val="007A7C84"/>
    <w:rsid w:val="007B1C05"/>
    <w:rsid w:val="007B51C5"/>
    <w:rsid w:val="007B58C9"/>
    <w:rsid w:val="007B5DC2"/>
    <w:rsid w:val="007C3585"/>
    <w:rsid w:val="007C77A9"/>
    <w:rsid w:val="007D1915"/>
    <w:rsid w:val="007D27F4"/>
    <w:rsid w:val="007D3ED5"/>
    <w:rsid w:val="007D5523"/>
    <w:rsid w:val="007E152F"/>
    <w:rsid w:val="007E16FC"/>
    <w:rsid w:val="007E1803"/>
    <w:rsid w:val="007E2689"/>
    <w:rsid w:val="007F28A8"/>
    <w:rsid w:val="00800ACB"/>
    <w:rsid w:val="008031F0"/>
    <w:rsid w:val="00804057"/>
    <w:rsid w:val="00806F34"/>
    <w:rsid w:val="00810B30"/>
    <w:rsid w:val="00814651"/>
    <w:rsid w:val="00820AB1"/>
    <w:rsid w:val="0082511A"/>
    <w:rsid w:val="008272AF"/>
    <w:rsid w:val="00834628"/>
    <w:rsid w:val="00834C9C"/>
    <w:rsid w:val="00834F37"/>
    <w:rsid w:val="00834F5C"/>
    <w:rsid w:val="0084377E"/>
    <w:rsid w:val="00843B33"/>
    <w:rsid w:val="00846D72"/>
    <w:rsid w:val="00847007"/>
    <w:rsid w:val="00847A62"/>
    <w:rsid w:val="00862C92"/>
    <w:rsid w:val="0086386B"/>
    <w:rsid w:val="008643AA"/>
    <w:rsid w:val="00866939"/>
    <w:rsid w:val="00866A78"/>
    <w:rsid w:val="008673BB"/>
    <w:rsid w:val="008764CF"/>
    <w:rsid w:val="00877EB0"/>
    <w:rsid w:val="008804EB"/>
    <w:rsid w:val="00881B30"/>
    <w:rsid w:val="00881B5A"/>
    <w:rsid w:val="00881CBD"/>
    <w:rsid w:val="00881F20"/>
    <w:rsid w:val="008948DD"/>
    <w:rsid w:val="008954A7"/>
    <w:rsid w:val="008A3423"/>
    <w:rsid w:val="008B44B8"/>
    <w:rsid w:val="008B5BC6"/>
    <w:rsid w:val="008C0826"/>
    <w:rsid w:val="008C5E12"/>
    <w:rsid w:val="008C618E"/>
    <w:rsid w:val="008D0EC3"/>
    <w:rsid w:val="008E2DF3"/>
    <w:rsid w:val="008E56F3"/>
    <w:rsid w:val="008F01E9"/>
    <w:rsid w:val="008F4841"/>
    <w:rsid w:val="008F7E65"/>
    <w:rsid w:val="00902033"/>
    <w:rsid w:val="00904341"/>
    <w:rsid w:val="00913711"/>
    <w:rsid w:val="00915A9A"/>
    <w:rsid w:val="00925859"/>
    <w:rsid w:val="009311AF"/>
    <w:rsid w:val="00932150"/>
    <w:rsid w:val="00934500"/>
    <w:rsid w:val="009371DC"/>
    <w:rsid w:val="0094588C"/>
    <w:rsid w:val="009618CA"/>
    <w:rsid w:val="00966B19"/>
    <w:rsid w:val="00966C6E"/>
    <w:rsid w:val="009750D3"/>
    <w:rsid w:val="00980AA8"/>
    <w:rsid w:val="00983B72"/>
    <w:rsid w:val="00990EE0"/>
    <w:rsid w:val="009950F0"/>
    <w:rsid w:val="009A4228"/>
    <w:rsid w:val="009A467C"/>
    <w:rsid w:val="009A48E3"/>
    <w:rsid w:val="009A5193"/>
    <w:rsid w:val="009B0445"/>
    <w:rsid w:val="009B12DC"/>
    <w:rsid w:val="009B1F8F"/>
    <w:rsid w:val="009B2A5D"/>
    <w:rsid w:val="009B40D6"/>
    <w:rsid w:val="009B4EA6"/>
    <w:rsid w:val="009B5965"/>
    <w:rsid w:val="009C2F0E"/>
    <w:rsid w:val="009C30AC"/>
    <w:rsid w:val="009C6E67"/>
    <w:rsid w:val="009C7438"/>
    <w:rsid w:val="009D18D1"/>
    <w:rsid w:val="009E6C98"/>
    <w:rsid w:val="00A14D57"/>
    <w:rsid w:val="00A16588"/>
    <w:rsid w:val="00A17141"/>
    <w:rsid w:val="00A17282"/>
    <w:rsid w:val="00A210DF"/>
    <w:rsid w:val="00A21D1F"/>
    <w:rsid w:val="00A24736"/>
    <w:rsid w:val="00A2477E"/>
    <w:rsid w:val="00A30722"/>
    <w:rsid w:val="00A41788"/>
    <w:rsid w:val="00A41E7F"/>
    <w:rsid w:val="00A55705"/>
    <w:rsid w:val="00A55B72"/>
    <w:rsid w:val="00A70160"/>
    <w:rsid w:val="00A7239F"/>
    <w:rsid w:val="00A75DB7"/>
    <w:rsid w:val="00A760A6"/>
    <w:rsid w:val="00A81C83"/>
    <w:rsid w:val="00A91E07"/>
    <w:rsid w:val="00A921DF"/>
    <w:rsid w:val="00A93613"/>
    <w:rsid w:val="00A93F93"/>
    <w:rsid w:val="00A97760"/>
    <w:rsid w:val="00AB1C32"/>
    <w:rsid w:val="00AB2A98"/>
    <w:rsid w:val="00AC1530"/>
    <w:rsid w:val="00AC2625"/>
    <w:rsid w:val="00AC3360"/>
    <w:rsid w:val="00AC3495"/>
    <w:rsid w:val="00AC795A"/>
    <w:rsid w:val="00AD66D9"/>
    <w:rsid w:val="00AD68C2"/>
    <w:rsid w:val="00AD7273"/>
    <w:rsid w:val="00AE1863"/>
    <w:rsid w:val="00AE5CC9"/>
    <w:rsid w:val="00AF1365"/>
    <w:rsid w:val="00AF2B1D"/>
    <w:rsid w:val="00AF4998"/>
    <w:rsid w:val="00AF7613"/>
    <w:rsid w:val="00B0237C"/>
    <w:rsid w:val="00B02386"/>
    <w:rsid w:val="00B1411D"/>
    <w:rsid w:val="00B2142C"/>
    <w:rsid w:val="00B24C95"/>
    <w:rsid w:val="00B269C6"/>
    <w:rsid w:val="00B277F6"/>
    <w:rsid w:val="00B3421D"/>
    <w:rsid w:val="00B36B26"/>
    <w:rsid w:val="00B371CC"/>
    <w:rsid w:val="00B37A65"/>
    <w:rsid w:val="00B37C32"/>
    <w:rsid w:val="00B37D45"/>
    <w:rsid w:val="00B40F7F"/>
    <w:rsid w:val="00B417A6"/>
    <w:rsid w:val="00B441D4"/>
    <w:rsid w:val="00B44571"/>
    <w:rsid w:val="00B53135"/>
    <w:rsid w:val="00B53917"/>
    <w:rsid w:val="00B6281E"/>
    <w:rsid w:val="00B646B6"/>
    <w:rsid w:val="00B70432"/>
    <w:rsid w:val="00B707AB"/>
    <w:rsid w:val="00B842BC"/>
    <w:rsid w:val="00B842E5"/>
    <w:rsid w:val="00B851CE"/>
    <w:rsid w:val="00B85D5A"/>
    <w:rsid w:val="00B87835"/>
    <w:rsid w:val="00B90ADD"/>
    <w:rsid w:val="00B93868"/>
    <w:rsid w:val="00B97381"/>
    <w:rsid w:val="00BB1CED"/>
    <w:rsid w:val="00BB2607"/>
    <w:rsid w:val="00BC443C"/>
    <w:rsid w:val="00BC5D00"/>
    <w:rsid w:val="00BC5E66"/>
    <w:rsid w:val="00BD1A48"/>
    <w:rsid w:val="00BD63BE"/>
    <w:rsid w:val="00BE2BA5"/>
    <w:rsid w:val="00BF1568"/>
    <w:rsid w:val="00C01276"/>
    <w:rsid w:val="00C0360F"/>
    <w:rsid w:val="00C12320"/>
    <w:rsid w:val="00C147AE"/>
    <w:rsid w:val="00C17B8B"/>
    <w:rsid w:val="00C2238D"/>
    <w:rsid w:val="00C245DD"/>
    <w:rsid w:val="00C35872"/>
    <w:rsid w:val="00C36C30"/>
    <w:rsid w:val="00C41BB3"/>
    <w:rsid w:val="00C41C28"/>
    <w:rsid w:val="00C41F2E"/>
    <w:rsid w:val="00C43DE2"/>
    <w:rsid w:val="00C47A3C"/>
    <w:rsid w:val="00C52E97"/>
    <w:rsid w:val="00C57511"/>
    <w:rsid w:val="00C57696"/>
    <w:rsid w:val="00C6077E"/>
    <w:rsid w:val="00C60974"/>
    <w:rsid w:val="00C6566A"/>
    <w:rsid w:val="00C666B5"/>
    <w:rsid w:val="00C732EF"/>
    <w:rsid w:val="00C73710"/>
    <w:rsid w:val="00C76347"/>
    <w:rsid w:val="00C8676F"/>
    <w:rsid w:val="00C91A66"/>
    <w:rsid w:val="00C94BBC"/>
    <w:rsid w:val="00CB1510"/>
    <w:rsid w:val="00CB32F2"/>
    <w:rsid w:val="00CB5CEC"/>
    <w:rsid w:val="00CC2E8F"/>
    <w:rsid w:val="00CC4863"/>
    <w:rsid w:val="00CC708F"/>
    <w:rsid w:val="00CE208A"/>
    <w:rsid w:val="00CE21D7"/>
    <w:rsid w:val="00CE233D"/>
    <w:rsid w:val="00CE3A6C"/>
    <w:rsid w:val="00CE55F6"/>
    <w:rsid w:val="00D01E76"/>
    <w:rsid w:val="00D03FF2"/>
    <w:rsid w:val="00D04E40"/>
    <w:rsid w:val="00D10DC9"/>
    <w:rsid w:val="00D126FE"/>
    <w:rsid w:val="00D133CD"/>
    <w:rsid w:val="00D229CF"/>
    <w:rsid w:val="00D4224D"/>
    <w:rsid w:val="00D43E4E"/>
    <w:rsid w:val="00D446D6"/>
    <w:rsid w:val="00D556D1"/>
    <w:rsid w:val="00D57183"/>
    <w:rsid w:val="00D63A66"/>
    <w:rsid w:val="00D651FB"/>
    <w:rsid w:val="00D65AF7"/>
    <w:rsid w:val="00D6659B"/>
    <w:rsid w:val="00D72C56"/>
    <w:rsid w:val="00D767AE"/>
    <w:rsid w:val="00D8201B"/>
    <w:rsid w:val="00D82CF4"/>
    <w:rsid w:val="00D8603F"/>
    <w:rsid w:val="00D9485B"/>
    <w:rsid w:val="00DA05E1"/>
    <w:rsid w:val="00DA42FD"/>
    <w:rsid w:val="00DA6B3C"/>
    <w:rsid w:val="00DA6E40"/>
    <w:rsid w:val="00DB2124"/>
    <w:rsid w:val="00DB38D5"/>
    <w:rsid w:val="00DB6474"/>
    <w:rsid w:val="00DB6EDF"/>
    <w:rsid w:val="00DC64E8"/>
    <w:rsid w:val="00DD464E"/>
    <w:rsid w:val="00DD4A07"/>
    <w:rsid w:val="00DE5BAE"/>
    <w:rsid w:val="00DE5E01"/>
    <w:rsid w:val="00DE7EE1"/>
    <w:rsid w:val="00DF4BCE"/>
    <w:rsid w:val="00DF54AF"/>
    <w:rsid w:val="00E000BF"/>
    <w:rsid w:val="00E00CE6"/>
    <w:rsid w:val="00E020ED"/>
    <w:rsid w:val="00E04BF2"/>
    <w:rsid w:val="00E05CFA"/>
    <w:rsid w:val="00E1419E"/>
    <w:rsid w:val="00E16918"/>
    <w:rsid w:val="00E2596D"/>
    <w:rsid w:val="00E269CF"/>
    <w:rsid w:val="00E3040F"/>
    <w:rsid w:val="00E32062"/>
    <w:rsid w:val="00E32350"/>
    <w:rsid w:val="00E35B38"/>
    <w:rsid w:val="00E36893"/>
    <w:rsid w:val="00E3743D"/>
    <w:rsid w:val="00E45482"/>
    <w:rsid w:val="00E4707F"/>
    <w:rsid w:val="00E53EFE"/>
    <w:rsid w:val="00E650AB"/>
    <w:rsid w:val="00E6517C"/>
    <w:rsid w:val="00E70D1C"/>
    <w:rsid w:val="00E70F58"/>
    <w:rsid w:val="00E7217D"/>
    <w:rsid w:val="00E923E7"/>
    <w:rsid w:val="00EA5F85"/>
    <w:rsid w:val="00EB0932"/>
    <w:rsid w:val="00EB1764"/>
    <w:rsid w:val="00EB42BB"/>
    <w:rsid w:val="00EC06C0"/>
    <w:rsid w:val="00EC2759"/>
    <w:rsid w:val="00EC27C6"/>
    <w:rsid w:val="00EC2B1F"/>
    <w:rsid w:val="00EC39D3"/>
    <w:rsid w:val="00EC4CA2"/>
    <w:rsid w:val="00EC721E"/>
    <w:rsid w:val="00ED61AD"/>
    <w:rsid w:val="00ED743B"/>
    <w:rsid w:val="00ED7778"/>
    <w:rsid w:val="00EE002F"/>
    <w:rsid w:val="00EE0C13"/>
    <w:rsid w:val="00EE65D6"/>
    <w:rsid w:val="00EE77DC"/>
    <w:rsid w:val="00EF55B4"/>
    <w:rsid w:val="00EF6102"/>
    <w:rsid w:val="00EF618C"/>
    <w:rsid w:val="00F00905"/>
    <w:rsid w:val="00F00D5C"/>
    <w:rsid w:val="00F0478B"/>
    <w:rsid w:val="00F11E2E"/>
    <w:rsid w:val="00F13B5A"/>
    <w:rsid w:val="00F160C1"/>
    <w:rsid w:val="00F20267"/>
    <w:rsid w:val="00F2416C"/>
    <w:rsid w:val="00F25A41"/>
    <w:rsid w:val="00F2670F"/>
    <w:rsid w:val="00F316B5"/>
    <w:rsid w:val="00F31F71"/>
    <w:rsid w:val="00F33669"/>
    <w:rsid w:val="00F37FA3"/>
    <w:rsid w:val="00F4244A"/>
    <w:rsid w:val="00F43E43"/>
    <w:rsid w:val="00F47AD8"/>
    <w:rsid w:val="00F55A2A"/>
    <w:rsid w:val="00F615A0"/>
    <w:rsid w:val="00F70FA5"/>
    <w:rsid w:val="00F75A1F"/>
    <w:rsid w:val="00F81C34"/>
    <w:rsid w:val="00F85AE3"/>
    <w:rsid w:val="00F8674B"/>
    <w:rsid w:val="00F924E4"/>
    <w:rsid w:val="00F975F9"/>
    <w:rsid w:val="00F97EAE"/>
    <w:rsid w:val="00FA0399"/>
    <w:rsid w:val="00FA0E4D"/>
    <w:rsid w:val="00FA1260"/>
    <w:rsid w:val="00FA1E65"/>
    <w:rsid w:val="00FA2F9A"/>
    <w:rsid w:val="00FB14BD"/>
    <w:rsid w:val="00FB61A0"/>
    <w:rsid w:val="00FC1882"/>
    <w:rsid w:val="00FD67CB"/>
    <w:rsid w:val="00FE7AD0"/>
    <w:rsid w:val="00FE7DF9"/>
    <w:rsid w:val="00FF451F"/>
    <w:rsid w:val="722E5D5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DFFC078-D518-43A2-A413-5123E4907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SimSun"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numPr>
        <w:numId w:val="1"/>
      </w:numPr>
      <w:spacing w:before="360" w:after="80"/>
      <w:outlineLvl w:val="0"/>
    </w:pPr>
    <w:rPr>
      <w:rFonts w:ascii="Times New Roman" w:eastAsiaTheme="majorEastAsia" w:hAnsi="Times New Roman" w:cstheme="majorBidi"/>
      <w:b/>
      <w:sz w:val="32"/>
      <w:szCs w:val="40"/>
    </w:rPr>
  </w:style>
  <w:style w:type="paragraph" w:styleId="Heading2">
    <w:name w:val="heading 2"/>
    <w:basedOn w:val="Normal"/>
    <w:next w:val="Normal"/>
    <w:link w:val="Heading2Char"/>
    <w:uiPriority w:val="9"/>
    <w:unhideWhenUsed/>
    <w:qFormat/>
    <w:pPr>
      <w:keepNext/>
      <w:keepLines/>
      <w:numPr>
        <w:ilvl w:val="1"/>
        <w:numId w:val="1"/>
      </w:numPr>
      <w:spacing w:before="160" w:after="80"/>
      <w:outlineLvl w:val="1"/>
    </w:pPr>
    <w:rPr>
      <w:rFonts w:ascii="Times New Roman" w:eastAsiaTheme="majorEastAsia" w:hAnsi="Times New Roman" w:cstheme="majorBidi"/>
      <w:b/>
      <w:sz w:val="28"/>
      <w:szCs w:val="32"/>
    </w:rPr>
  </w:style>
  <w:style w:type="paragraph" w:styleId="Heading3">
    <w:name w:val="heading 3"/>
    <w:basedOn w:val="Normal"/>
    <w:next w:val="Normal"/>
    <w:link w:val="Heading3Char"/>
    <w:uiPriority w:val="9"/>
    <w:unhideWhenUsed/>
    <w:qFormat/>
    <w:pPr>
      <w:keepNext/>
      <w:keepLines/>
      <w:numPr>
        <w:ilvl w:val="2"/>
        <w:numId w:val="1"/>
      </w:numPr>
      <w:spacing w:before="160" w:after="80"/>
      <w:outlineLvl w:val="2"/>
    </w:pPr>
    <w:rPr>
      <w:rFonts w:ascii="Times New Roman" w:eastAsiaTheme="majorEastAsia" w:hAnsi="Times New Roman" w:cstheme="majorBidi"/>
      <w:b/>
      <w:i/>
      <w:sz w:val="24"/>
      <w:szCs w:val="28"/>
    </w:rPr>
  </w:style>
  <w:style w:type="paragraph" w:styleId="Heading4">
    <w:name w:val="heading 4"/>
    <w:basedOn w:val="Normal"/>
    <w:next w:val="Normal"/>
    <w:link w:val="Heading4Char"/>
    <w:uiPriority w:val="9"/>
    <w:unhideWhenUsed/>
    <w:qFormat/>
    <w:pPr>
      <w:keepNext/>
      <w:keepLines/>
      <w:numPr>
        <w:ilvl w:val="3"/>
        <w:numId w:val="1"/>
      </w:numPr>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pPr>
      <w:keepNext/>
      <w:keepLines/>
      <w:numPr>
        <w:ilvl w:val="4"/>
        <w:numId w:val="1"/>
      </w:numPr>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pPr>
      <w:keepNext/>
      <w:keepLines/>
      <w:numPr>
        <w:ilvl w:val="5"/>
        <w:numId w:val="1"/>
      </w:numPr>
      <w:tabs>
        <w:tab w:val="left" w:pos="360"/>
      </w:tabs>
      <w:spacing w:before="40" w:after="0"/>
      <w:ind w:left="0" w:firstLine="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numPr>
        <w:ilvl w:val="6"/>
        <w:numId w:val="1"/>
      </w:numPr>
      <w:tabs>
        <w:tab w:val="left" w:pos="360"/>
      </w:tabs>
      <w:spacing w:before="40" w:after="0"/>
      <w:ind w:left="0" w:firstLine="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numPr>
        <w:ilvl w:val="7"/>
        <w:numId w:val="1"/>
      </w:numPr>
      <w:tabs>
        <w:tab w:val="left" w:pos="360"/>
      </w:tabs>
      <w:spacing w:after="0"/>
      <w:ind w:left="0" w:firstLine="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numPr>
        <w:ilvl w:val="8"/>
        <w:numId w:val="1"/>
      </w:numPr>
      <w:tabs>
        <w:tab w:val="left" w:pos="360"/>
      </w:tabs>
      <w:spacing w:after="0"/>
      <w:ind w:left="0" w:firstLine="0"/>
      <w:outlineLvl w:val="8"/>
    </w:pPr>
    <w:rPr>
      <w:rFonts w:eastAsiaTheme="majorEastAsia" w:cstheme="majorBidi"/>
      <w:color w:val="262626" w:themeColor="text1" w:themeTint="D9"/>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paragraph" w:styleId="Caption">
    <w:name w:val="caption"/>
    <w:basedOn w:val="Normal"/>
    <w:next w:val="Normal"/>
    <w:uiPriority w:val="35"/>
    <w:unhideWhenUsed/>
    <w:qFormat/>
    <w:pPr>
      <w:spacing w:after="200" w:line="240" w:lineRule="auto"/>
    </w:pPr>
    <w:rPr>
      <w:i/>
      <w:iCs/>
      <w:color w:val="44546A" w:themeColor="text2"/>
      <w:sz w:val="18"/>
      <w:szCs w:val="18"/>
    </w:rPr>
  </w:style>
  <w:style w:type="character" w:styleId="FollowedHyperlink">
    <w:name w:val="FollowedHyperlink"/>
    <w:basedOn w:val="DefaultParagraphFont"/>
    <w:uiPriority w:val="99"/>
    <w:semiHidden/>
    <w:unhideWhenUsed/>
    <w:qFormat/>
    <w:rPr>
      <w:color w:val="954F72" w:themeColor="followedHyperlink"/>
      <w:u w:val="single"/>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563C1"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table" w:styleId="TableGrid">
    <w:name w:val="Table Grid"/>
    <w:basedOn w:val="Table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qFormat/>
    <w:pPr>
      <w:spacing w:after="0"/>
    </w:p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paragraph" w:styleId="TOC1">
    <w:name w:val="toc 1"/>
    <w:basedOn w:val="Normal"/>
    <w:next w:val="Normal"/>
    <w:autoRedefine/>
    <w:uiPriority w:val="39"/>
    <w:unhideWhenUsed/>
    <w:qFormat/>
    <w:pPr>
      <w:spacing w:after="100"/>
    </w:pPr>
  </w:style>
  <w:style w:type="paragraph" w:styleId="TOC2">
    <w:name w:val="toc 2"/>
    <w:basedOn w:val="Normal"/>
    <w:next w:val="Normal"/>
    <w:autoRedefine/>
    <w:uiPriority w:val="39"/>
    <w:unhideWhenUsed/>
    <w:qFormat/>
    <w:pPr>
      <w:spacing w:after="100"/>
      <w:ind w:left="220"/>
    </w:pPr>
  </w:style>
  <w:style w:type="paragraph" w:styleId="TOC3">
    <w:name w:val="toc 3"/>
    <w:basedOn w:val="Normal"/>
    <w:next w:val="Normal"/>
    <w:autoRedefine/>
    <w:uiPriority w:val="39"/>
    <w:unhideWhenUsed/>
    <w:qFormat/>
    <w:pPr>
      <w:spacing w:after="100"/>
      <w:ind w:left="440"/>
    </w:pPr>
  </w:style>
  <w:style w:type="character" w:customStyle="1" w:styleId="Heading1Char">
    <w:name w:val="Heading 1 Char"/>
    <w:basedOn w:val="DefaultParagraphFont"/>
    <w:link w:val="Heading1"/>
    <w:uiPriority w:val="9"/>
    <w:qFormat/>
    <w:rPr>
      <w:rFonts w:ascii="Times New Roman" w:eastAsiaTheme="majorEastAsia" w:hAnsi="Times New Roman" w:cstheme="majorBidi"/>
      <w:b/>
      <w:sz w:val="32"/>
      <w:szCs w:val="40"/>
    </w:rPr>
  </w:style>
  <w:style w:type="character" w:customStyle="1" w:styleId="Heading2Char">
    <w:name w:val="Heading 2 Char"/>
    <w:basedOn w:val="DefaultParagraphFont"/>
    <w:link w:val="Heading2"/>
    <w:uiPriority w:val="9"/>
    <w:qFormat/>
    <w:rPr>
      <w:rFonts w:ascii="Times New Roman" w:eastAsiaTheme="majorEastAsia" w:hAnsi="Times New Roman" w:cstheme="majorBidi"/>
      <w:b/>
      <w:sz w:val="28"/>
      <w:szCs w:val="32"/>
    </w:rPr>
  </w:style>
  <w:style w:type="character" w:customStyle="1" w:styleId="Heading3Char">
    <w:name w:val="Heading 3 Char"/>
    <w:basedOn w:val="DefaultParagraphFont"/>
    <w:link w:val="Heading3"/>
    <w:uiPriority w:val="9"/>
    <w:qFormat/>
    <w:rPr>
      <w:rFonts w:ascii="Times New Roman" w:eastAsiaTheme="majorEastAsia" w:hAnsi="Times New Roman" w:cstheme="majorBidi"/>
      <w:b/>
      <w:i/>
      <w:sz w:val="24"/>
      <w:szCs w:val="28"/>
    </w:rPr>
  </w:style>
  <w:style w:type="character" w:customStyle="1" w:styleId="Heading4Char">
    <w:name w:val="Heading 4 Char"/>
    <w:basedOn w:val="DefaultParagraphFont"/>
    <w:link w:val="Heading4"/>
    <w:uiPriority w:val="9"/>
    <w:qFormat/>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E74B5" w:themeColor="accent1" w:themeShade="BF"/>
    </w:rPr>
  </w:style>
  <w:style w:type="paragraph" w:styleId="IntenseQuote">
    <w:name w:val="Intense Quote"/>
    <w:basedOn w:val="Normal"/>
    <w:next w:val="Normal"/>
    <w:link w:val="IntenseQuoteChar"/>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qFormat/>
    <w:rPr>
      <w:i/>
      <w:iCs/>
      <w:color w:val="2E74B5" w:themeColor="accent1" w:themeShade="BF"/>
    </w:rPr>
  </w:style>
  <w:style w:type="character" w:customStyle="1" w:styleId="IntenseReference1">
    <w:name w:val="Intense Reference1"/>
    <w:basedOn w:val="DefaultParagraphFont"/>
    <w:uiPriority w:val="32"/>
    <w:qFormat/>
    <w:rPr>
      <w:b/>
      <w:bCs/>
      <w:smallCaps/>
      <w:color w:val="2E74B5" w:themeColor="accent1" w:themeShade="BF"/>
      <w:spacing w:val="5"/>
    </w:rPr>
  </w:style>
  <w:style w:type="character" w:customStyle="1" w:styleId="paperpal-inline-citation">
    <w:name w:val="paperpal-inline-citation"/>
    <w:basedOn w:val="DefaultParagraphFont"/>
    <w:qFormat/>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 w:type="character" w:styleId="PlaceholderText">
    <w:name w:val="Placeholder Text"/>
    <w:basedOn w:val="DefaultParagraphFont"/>
    <w:uiPriority w:val="99"/>
    <w:semiHidden/>
    <w:qFormat/>
    <w:rPr>
      <w:color w:val="666666"/>
    </w:rPr>
  </w:style>
  <w:style w:type="paragraph" w:customStyle="1" w:styleId="Revision1">
    <w:name w:val="Revision1"/>
    <w:hidden/>
    <w:uiPriority w:val="99"/>
    <w:semiHidden/>
    <w:qFormat/>
    <w:rPr>
      <w:sz w:val="22"/>
      <w:szCs w:val="22"/>
    </w:rPr>
  </w:style>
  <w:style w:type="paragraph" w:customStyle="1" w:styleId="TOCHeading1">
    <w:name w:val="TOC Heading1"/>
    <w:basedOn w:val="Heading1"/>
    <w:next w:val="Normal"/>
    <w:uiPriority w:val="39"/>
    <w:unhideWhenUsed/>
    <w:qFormat/>
    <w:pPr>
      <w:numPr>
        <w:numId w:val="0"/>
      </w:numPr>
      <w:spacing w:before="240" w:after="0"/>
      <w:outlineLvl w:val="9"/>
    </w:pPr>
    <w:rPr>
      <w:rFonts w:asciiTheme="majorHAnsi" w:hAnsiTheme="majorHAnsi"/>
      <w:b w:val="0"/>
      <w:color w:val="2E74B5" w:themeColor="accent1" w:themeShade="BF"/>
      <w:szCs w:val="32"/>
    </w:rPr>
  </w:style>
  <w:style w:type="paragraph" w:customStyle="1" w:styleId="Pre-TOC">
    <w:name w:val="Pre-TOC"/>
    <w:basedOn w:val="Normal"/>
    <w:link w:val="Pre-TOCChar"/>
    <w:qFormat/>
    <w:pPr>
      <w:jc w:val="center"/>
    </w:pPr>
    <w:rPr>
      <w:rFonts w:ascii="Times New Roman" w:hAnsi="Times New Roman" w:cs="Times New Roman"/>
      <w:b/>
      <w:bCs/>
      <w:sz w:val="32"/>
      <w:szCs w:val="32"/>
    </w:rPr>
  </w:style>
  <w:style w:type="character" w:customStyle="1" w:styleId="Pre-TOCChar">
    <w:name w:val="Pre-TOC Char"/>
    <w:basedOn w:val="DefaultParagraphFont"/>
    <w:link w:val="Pre-TOC"/>
    <w:qFormat/>
    <w:rPr>
      <w:rFonts w:ascii="Times New Roman" w:hAnsi="Times New Roman" w:cs="Times New Roman"/>
      <w:b/>
      <w:bCs/>
      <w:sz w:val="32"/>
      <w:szCs w:val="32"/>
    </w:rPr>
  </w:style>
  <w:style w:type="paragraph" w:customStyle="1" w:styleId="msonormal0">
    <w:name w:val="msonormal"/>
    <w:basedOn w:val="Normal"/>
    <w:uiPriority w:val="99"/>
    <w:qFormat/>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11">
    <w:name w:val="Plain Table 11"/>
    <w:basedOn w:val="TableNormal"/>
    <w:uiPriority w:val="41"/>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Light1">
    <w:name w:val="Table Grid Light1"/>
    <w:basedOn w:val="TableNormal"/>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05121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file:///C:\Users\hp\AppData\Local\Microsoft\Windows\INetCache\IE\U3BDDO68\Final%20thesis%20Dua%5b1%5d.docx" TargetMode="External"/><Relationship Id="rId18" Type="http://schemas.openxmlformats.org/officeDocument/2006/relationships/hyperlink" Target="file:///C:\Users\hp\AppData\Local\Microsoft\Windows\INetCache\IE\U3BDDO68\Final%20thesis%20Dua%5b1%5d.docx" TargetMode="External"/><Relationship Id="rId26" Type="http://schemas.openxmlformats.org/officeDocument/2006/relationships/hyperlink" Target="file:///C:\Users\hp\AppData\Local\Microsoft\Windows\INetCache\IE\U3BDDO68\Final%20thesis%20Dua%5b1%5d.docx" TargetMode="External"/><Relationship Id="rId39" Type="http://schemas.openxmlformats.org/officeDocument/2006/relationships/hyperlink" Target="file:///C:\Users\hp\AppData\Local\Microsoft\Windows\INetCache\IE\U3BDDO68\Final%20thesis%20Dua%5b1%5d.docx" TargetMode="External"/><Relationship Id="rId21" Type="http://schemas.openxmlformats.org/officeDocument/2006/relationships/hyperlink" Target="file:///C:\Users\hp\AppData\Local\Microsoft\Windows\INetCache\IE\U3BDDO68\Final%20thesis%20Dua%5b1%5d.docx" TargetMode="External"/><Relationship Id="rId34" Type="http://schemas.openxmlformats.org/officeDocument/2006/relationships/hyperlink" Target="file:///C:\Users\hp\AppData\Local\Microsoft\Windows\INetCache\IE\U3BDDO68\Final%20thesis%20Dua%5b1%5d.docx" TargetMode="External"/><Relationship Id="rId42" Type="http://schemas.openxmlformats.org/officeDocument/2006/relationships/hyperlink" Target="file:///C:\Users\hp\AppData\Local\Microsoft\Windows\INetCache\IE\U3BDDO68\Final%20thesis%20Dua%5b1%5d.docx" TargetMode="External"/><Relationship Id="rId47" Type="http://schemas.openxmlformats.org/officeDocument/2006/relationships/hyperlink" Target="file:///C:\Users\hp\AppData\Local\Microsoft\Windows\INetCache\IE\U3BDDO68\Final%20thesis%20Dua%5b1%5d.docx" TargetMode="External"/><Relationship Id="rId50" Type="http://schemas.openxmlformats.org/officeDocument/2006/relationships/image" Target="media/image3.png"/><Relationship Id="rId55" Type="http://schemas.openxmlformats.org/officeDocument/2006/relationships/chart" Target="charts/chart1.xml"/><Relationship Id="rId63" Type="http://schemas.openxmlformats.org/officeDocument/2006/relationships/chart" Target="charts/chart9.xml"/><Relationship Id="rId68" Type="http://schemas.openxmlformats.org/officeDocument/2006/relationships/image" Target="media/image10.PNG"/><Relationship Id="rId76" Type="http://schemas.openxmlformats.org/officeDocument/2006/relationships/image" Target="media/image16.jpeg"/><Relationship Id="rId7" Type="http://schemas.openxmlformats.org/officeDocument/2006/relationships/endnotes" Target="endnotes.xml"/><Relationship Id="rId71"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file:///C:\Users\hp\AppData\Local\Microsoft\Windows\INetCache\IE\U3BDDO68\Final%20thesis%20Dua%5b1%5d.docx" TargetMode="External"/><Relationship Id="rId29" Type="http://schemas.openxmlformats.org/officeDocument/2006/relationships/hyperlink" Target="file:///C:\Users\hp\AppData\Local\Microsoft\Windows\INetCache\IE\U3BDDO68\Final%20thesis%20Dua%5b1%5d.docx" TargetMode="External"/><Relationship Id="rId11" Type="http://schemas.openxmlformats.org/officeDocument/2006/relationships/hyperlink" Target="file:///C:\Users\hp\AppData\Local\Microsoft\Windows\INetCache\IE\U3BDDO68\Final%20thesis%20Dua%5b1%5d.docx" TargetMode="External"/><Relationship Id="rId24" Type="http://schemas.openxmlformats.org/officeDocument/2006/relationships/hyperlink" Target="file:///C:\Users\hp\AppData\Local\Microsoft\Windows\INetCache\IE\U3BDDO68\Final%20thesis%20Dua%5b1%5d.docx" TargetMode="External"/><Relationship Id="rId32" Type="http://schemas.openxmlformats.org/officeDocument/2006/relationships/hyperlink" Target="file:///C:\Users\hp\AppData\Local\Microsoft\Windows\INetCache\IE\U3BDDO68\Final%20thesis%20Dua%5b1%5d.docx" TargetMode="External"/><Relationship Id="rId37" Type="http://schemas.openxmlformats.org/officeDocument/2006/relationships/hyperlink" Target="file:///C:\Users\hp\AppData\Local\Microsoft\Windows\INetCache\IE\U3BDDO68\Final%20thesis%20Dua%5b1%5d.docx" TargetMode="External"/><Relationship Id="rId40" Type="http://schemas.openxmlformats.org/officeDocument/2006/relationships/hyperlink" Target="file:///C:\Users\hp\AppData\Local\Microsoft\Windows\INetCache\IE\U3BDDO68\Final%20thesis%20Dua%5b1%5d.docx" TargetMode="External"/><Relationship Id="rId45" Type="http://schemas.openxmlformats.org/officeDocument/2006/relationships/hyperlink" Target="file:///C:\Users\hp\AppData\Local\Microsoft\Windows\INetCache\IE\U3BDDO68\Final%20thesis%20Dua%5b1%5d.docx" TargetMode="External"/><Relationship Id="rId53" Type="http://schemas.openxmlformats.org/officeDocument/2006/relationships/image" Target="media/image6.png"/><Relationship Id="rId58" Type="http://schemas.openxmlformats.org/officeDocument/2006/relationships/chart" Target="charts/chart4.xml"/><Relationship Id="rId66" Type="http://schemas.openxmlformats.org/officeDocument/2006/relationships/image" Target="media/image8.PNG"/><Relationship Id="rId74" Type="http://schemas.openxmlformats.org/officeDocument/2006/relationships/image" Target="media/image14.png"/><Relationship Id="rId79" Type="http://schemas.openxmlformats.org/officeDocument/2006/relationships/image" Target="media/image19.jpeg"/><Relationship Id="rId5" Type="http://schemas.openxmlformats.org/officeDocument/2006/relationships/webSettings" Target="webSettings.xml"/><Relationship Id="rId61" Type="http://schemas.openxmlformats.org/officeDocument/2006/relationships/chart" Target="charts/chart7.xml"/><Relationship Id="rId82"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file:///C:\Users\hp\AppData\Local\Microsoft\Windows\INetCache\IE\U3BDDO68\Final%20thesis%20Dua%5b1%5d.docx" TargetMode="External"/><Relationship Id="rId31" Type="http://schemas.openxmlformats.org/officeDocument/2006/relationships/hyperlink" Target="file:///C:\Users\hp\AppData\Local\Microsoft\Windows\INetCache\IE\U3BDDO68\Final%20thesis%20Dua%5b1%5d.docx" TargetMode="External"/><Relationship Id="rId44" Type="http://schemas.openxmlformats.org/officeDocument/2006/relationships/hyperlink" Target="file:///C:\Users\hp\AppData\Local\Microsoft\Windows\INetCache\IE\U3BDDO68\Final%20thesis%20Dua%5b1%5d.docx" TargetMode="External"/><Relationship Id="rId52" Type="http://schemas.openxmlformats.org/officeDocument/2006/relationships/image" Target="media/image5.png"/><Relationship Id="rId60" Type="http://schemas.openxmlformats.org/officeDocument/2006/relationships/chart" Target="charts/chart6.xml"/><Relationship Id="rId65" Type="http://schemas.openxmlformats.org/officeDocument/2006/relationships/chart" Target="charts/chart11.xml"/><Relationship Id="rId73" Type="http://schemas.openxmlformats.org/officeDocument/2006/relationships/image" Target="media/image13.png"/><Relationship Id="rId78" Type="http://schemas.openxmlformats.org/officeDocument/2006/relationships/image" Target="media/image18.jpeg"/><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file:///C:\Users\hp\AppData\Local\Microsoft\Windows\INetCache\IE\U3BDDO68\Final%20thesis%20Dua%5b1%5d.docx" TargetMode="External"/><Relationship Id="rId22" Type="http://schemas.openxmlformats.org/officeDocument/2006/relationships/hyperlink" Target="file:///C:\Users\hp\AppData\Local\Microsoft\Windows\INetCache\IE\U3BDDO68\Final%20thesis%20Dua%5b1%5d.docx" TargetMode="External"/><Relationship Id="rId27" Type="http://schemas.openxmlformats.org/officeDocument/2006/relationships/hyperlink" Target="file:///C:\Users\hp\AppData\Local\Microsoft\Windows\INetCache\IE\U3BDDO68\Final%20thesis%20Dua%5b1%5d.docx" TargetMode="External"/><Relationship Id="rId30" Type="http://schemas.openxmlformats.org/officeDocument/2006/relationships/hyperlink" Target="file:///C:\Users\hp\AppData\Local\Microsoft\Windows\INetCache\IE\U3BDDO68\Final%20thesis%20Dua%5b1%5d.docx" TargetMode="External"/><Relationship Id="rId35" Type="http://schemas.openxmlformats.org/officeDocument/2006/relationships/hyperlink" Target="file:///C:\Users\hp\AppData\Local\Microsoft\Windows\INetCache\IE\U3BDDO68\Final%20thesis%20Dua%5b1%5d.docx" TargetMode="External"/><Relationship Id="rId43" Type="http://schemas.openxmlformats.org/officeDocument/2006/relationships/hyperlink" Target="file:///C:\Users\hp\AppData\Local\Microsoft\Windows\INetCache\IE\U3BDDO68\Final%20thesis%20Dua%5b1%5d.docx" TargetMode="External"/><Relationship Id="rId48" Type="http://schemas.openxmlformats.org/officeDocument/2006/relationships/hyperlink" Target="file:///C:\Users\hp\AppData\Local\Microsoft\Windows\INetCache\IE\U3BDDO68\Final%20thesis%20Dua%5b1%5d.docx" TargetMode="External"/><Relationship Id="rId56" Type="http://schemas.openxmlformats.org/officeDocument/2006/relationships/chart" Target="charts/chart2.xml"/><Relationship Id="rId64" Type="http://schemas.openxmlformats.org/officeDocument/2006/relationships/chart" Target="charts/chart10.xml"/><Relationship Id="rId69" Type="http://schemas.openxmlformats.org/officeDocument/2006/relationships/image" Target="media/image11.PNG"/><Relationship Id="rId77" Type="http://schemas.openxmlformats.org/officeDocument/2006/relationships/image" Target="media/image17.jpeg"/><Relationship Id="rId8" Type="http://schemas.openxmlformats.org/officeDocument/2006/relationships/image" Target="media/image1.png"/><Relationship Id="rId51" Type="http://schemas.openxmlformats.org/officeDocument/2006/relationships/image" Target="media/image4.png"/><Relationship Id="rId72" Type="http://schemas.openxmlformats.org/officeDocument/2006/relationships/footer" Target="footer4.xml"/><Relationship Id="rId80" Type="http://schemas.openxmlformats.org/officeDocument/2006/relationships/image" Target="media/image20.jpeg"/><Relationship Id="rId3" Type="http://schemas.openxmlformats.org/officeDocument/2006/relationships/styles" Target="styles.xml"/><Relationship Id="rId12" Type="http://schemas.openxmlformats.org/officeDocument/2006/relationships/hyperlink" Target="file:///C:\Users\hp\AppData\Local\Microsoft\Windows\INetCache\IE\U3BDDO68\Final%20thesis%20Dua%5b1%5d.docx" TargetMode="External"/><Relationship Id="rId17" Type="http://schemas.openxmlformats.org/officeDocument/2006/relationships/hyperlink" Target="file:///C:\Users\hp\AppData\Local\Microsoft\Windows\INetCache\IE\U3BDDO68\Final%20thesis%20Dua%5b1%5d.docx" TargetMode="External"/><Relationship Id="rId25" Type="http://schemas.openxmlformats.org/officeDocument/2006/relationships/hyperlink" Target="file:///C:\Users\hp\AppData\Local\Microsoft\Windows\INetCache\IE\U3BDDO68\Final%20thesis%20Dua%5b1%5d.docx" TargetMode="External"/><Relationship Id="rId33" Type="http://schemas.openxmlformats.org/officeDocument/2006/relationships/hyperlink" Target="file:///C:\Users\hp\AppData\Local\Microsoft\Windows\INetCache\IE\U3BDDO68\Final%20thesis%20Dua%5b1%5d.docx" TargetMode="External"/><Relationship Id="rId38" Type="http://schemas.openxmlformats.org/officeDocument/2006/relationships/hyperlink" Target="file:///C:\Users\hp\AppData\Local\Microsoft\Windows\INetCache\IE\U3BDDO68\Final%20thesis%20Dua%5b1%5d.docx" TargetMode="External"/><Relationship Id="rId46" Type="http://schemas.openxmlformats.org/officeDocument/2006/relationships/hyperlink" Target="file:///C:\Users\hp\AppData\Local\Microsoft\Windows\INetCache\IE\U3BDDO68\Final%20thesis%20Dua%5b1%5d.docx" TargetMode="External"/><Relationship Id="rId59" Type="http://schemas.openxmlformats.org/officeDocument/2006/relationships/chart" Target="charts/chart5.xml"/><Relationship Id="rId67" Type="http://schemas.openxmlformats.org/officeDocument/2006/relationships/image" Target="media/image9.PNG"/><Relationship Id="rId20" Type="http://schemas.openxmlformats.org/officeDocument/2006/relationships/hyperlink" Target="file:///C:\Users\hp\AppData\Local\Microsoft\Windows\INetCache\IE\U3BDDO68\Final%20thesis%20Dua%5b1%5d.docx" TargetMode="External"/><Relationship Id="rId41" Type="http://schemas.openxmlformats.org/officeDocument/2006/relationships/hyperlink" Target="file:///C:\Users\hp\AppData\Local\Microsoft\Windows\INetCache\IE\U3BDDO68\Final%20thesis%20Dua%5b1%5d.docx" TargetMode="External"/><Relationship Id="rId54" Type="http://schemas.openxmlformats.org/officeDocument/2006/relationships/image" Target="media/image7.png"/><Relationship Id="rId62" Type="http://schemas.openxmlformats.org/officeDocument/2006/relationships/chart" Target="charts/chart8.xml"/><Relationship Id="rId70" Type="http://schemas.openxmlformats.org/officeDocument/2006/relationships/image" Target="media/image12.PNG"/><Relationship Id="rId75"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hp\AppData\Local\Microsoft\Windows\INetCache\IE\U3BDDO68\Final%20thesis%20Dua%5b1%5d.docx" TargetMode="External"/><Relationship Id="rId23" Type="http://schemas.openxmlformats.org/officeDocument/2006/relationships/hyperlink" Target="file:///C:\Users\hp\AppData\Local\Microsoft\Windows\INetCache\IE\U3BDDO68\Final%20thesis%20Dua%5b1%5d.docx" TargetMode="External"/><Relationship Id="rId28" Type="http://schemas.openxmlformats.org/officeDocument/2006/relationships/hyperlink" Target="file:///C:\Users\hp\AppData\Local\Microsoft\Windows\INetCache\IE\U3BDDO68\Final%20thesis%20Dua%5b1%5d.docx" TargetMode="External"/><Relationship Id="rId36" Type="http://schemas.openxmlformats.org/officeDocument/2006/relationships/hyperlink" Target="file:///C:\Users\hp\AppData\Local\Microsoft\Windows\INetCache\IE\U3BDDO68\Final%20thesis%20Dua%5b1%5d.docx" TargetMode="External"/><Relationship Id="rId49" Type="http://schemas.openxmlformats.org/officeDocument/2006/relationships/image" Target="media/image2.png"/><Relationship Id="rId57"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New\Downloads\Dua\Survey.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
          <c:dPt>
            <c:idx val="0"/>
            <c:bubble3D val="0"/>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1-9CDC-4C0F-BE64-B12C1053479C}"/>
              </c:ext>
            </c:extLst>
          </c:dPt>
          <c:dPt>
            <c:idx val="1"/>
            <c:bubble3D val="0"/>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3-9CDC-4C0F-BE64-B12C1053479C}"/>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(Gender!$A$2,Gender!$A$3)</c:f>
              <c:strCache>
                <c:ptCount val="2"/>
                <c:pt idx="0">
                  <c:v>Male</c:v>
                </c:pt>
                <c:pt idx="1">
                  <c:v>Female</c:v>
                </c:pt>
              </c:strCache>
            </c:strRef>
          </c:cat>
          <c:val>
            <c:numRef>
              <c:f>(Gender!$C$2,Gender!$C$3)</c:f>
              <c:numCache>
                <c:formatCode>0%</c:formatCode>
                <c:ptCount val="2"/>
                <c:pt idx="0">
                  <c:v>0.28999999999999998</c:v>
                </c:pt>
                <c:pt idx="1">
                  <c:v>0.71</c:v>
                </c:pt>
              </c:numCache>
            </c:numRef>
          </c:val>
          <c:extLst xmlns:c16r2="http://schemas.microsoft.com/office/drawing/2015/06/chart">
            <c:ext xmlns:c16="http://schemas.microsoft.com/office/drawing/2014/chart" uri="{C3380CC4-5D6E-409C-BE32-E72D297353CC}">
              <c16:uniqueId val="{00000004-9CDC-4C0F-BE64-B12C1053479C}"/>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2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1142e1bc-4373-44b5-a7af-bbd8e9c1675e}"/>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
          <c:dPt>
            <c:idx val="0"/>
            <c:bubble3D val="0"/>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1-E573-44F5-8FB7-6B67BE2C6B9E}"/>
              </c:ext>
            </c:extLst>
          </c:dPt>
          <c:dPt>
            <c:idx val="1"/>
            <c:bubble3D val="0"/>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3-E573-44F5-8FB7-6B67BE2C6B9E}"/>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'Long-term Health Risk'!$A$2:$A$3</c:f>
              <c:strCache>
                <c:ptCount val="2"/>
                <c:pt idx="0">
                  <c:v>Yes</c:v>
                </c:pt>
                <c:pt idx="1">
                  <c:v>No</c:v>
                </c:pt>
              </c:strCache>
            </c:strRef>
          </c:cat>
          <c:val>
            <c:numRef>
              <c:f>'Long-term Health Risk'!$C$2:$C$3</c:f>
              <c:numCache>
                <c:formatCode>0.0%</c:formatCode>
                <c:ptCount val="2"/>
                <c:pt idx="0">
                  <c:v>0.34499999999999997</c:v>
                </c:pt>
                <c:pt idx="1">
                  <c:v>0.65500000000000003</c:v>
                </c:pt>
              </c:numCache>
            </c:numRef>
          </c:val>
          <c:extLst xmlns:c16r2="http://schemas.microsoft.com/office/drawing/2015/06/chart">
            <c:ext xmlns:c16="http://schemas.microsoft.com/office/drawing/2014/chart" uri="{C3380CC4-5D6E-409C-BE32-E72D297353CC}">
              <c16:uniqueId val="{00000004-E573-44F5-8FB7-6B67BE2C6B9E}"/>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2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36ea2843-e905-4e30-aea3-4798a0d4ad32}"/>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
          <c:dPt>
            <c:idx val="0"/>
            <c:bubble3D val="0"/>
            <c:spPr>
              <a:solidFill>
                <a:srgbClr val="2066A8"/>
              </a:solidFill>
              <a:ln w="19050">
                <a:solidFill>
                  <a:srgbClr val="2066A8"/>
                </a:solidFill>
              </a:ln>
              <a:effectLst/>
            </c:spPr>
            <c:extLst xmlns:c16r2="http://schemas.microsoft.com/office/drawing/2015/06/chart">
              <c:ext xmlns:c16="http://schemas.microsoft.com/office/drawing/2014/chart" uri="{C3380CC4-5D6E-409C-BE32-E72D297353CC}">
                <c16:uniqueId val="{00000001-408E-4B57-ADB6-28E6C699921D}"/>
              </c:ext>
            </c:extLst>
          </c:dPt>
          <c:dPt>
            <c:idx val="1"/>
            <c:bubble3D val="0"/>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3-408E-4B57-ADB6-28E6C699921D}"/>
              </c:ext>
            </c:extLst>
          </c:dPt>
          <c:dPt>
            <c:idx val="2"/>
            <c:bubble3D val="0"/>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5-408E-4B57-ADB6-28E6C699921D}"/>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'Main Reasons for Using'!$A$2:$A$4</c:f>
              <c:strCache>
                <c:ptCount val="3"/>
                <c:pt idx="0">
                  <c:v>Skin tone lightening</c:v>
                </c:pt>
                <c:pt idx="1">
                  <c:v>Dark spots or pigmentation reduction</c:v>
                </c:pt>
                <c:pt idx="2">
                  <c:v>Acne reduction</c:v>
                </c:pt>
              </c:strCache>
            </c:strRef>
          </c:cat>
          <c:val>
            <c:numRef>
              <c:f>'Main Reasons for Using'!$C$2:$C$4</c:f>
              <c:numCache>
                <c:formatCode>0.0%</c:formatCode>
                <c:ptCount val="3"/>
                <c:pt idx="0">
                  <c:v>0.34499999999999997</c:v>
                </c:pt>
                <c:pt idx="1">
                  <c:v>0.28499999999999998</c:v>
                </c:pt>
                <c:pt idx="2" formatCode="0%">
                  <c:v>0.37</c:v>
                </c:pt>
              </c:numCache>
            </c:numRef>
          </c:val>
          <c:extLst xmlns:c16r2="http://schemas.microsoft.com/office/drawing/2015/06/chart">
            <c:ext xmlns:c16="http://schemas.microsoft.com/office/drawing/2014/chart" uri="{C3380CC4-5D6E-409C-BE32-E72D297353CC}">
              <c16:uniqueId val="{00000006-408E-4B57-ADB6-28E6C699921D}"/>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1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bcfdcce0-d9f8-4880-a62d-fa567628d2d1}"/>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3"/>
          <c:dPt>
            <c:idx val="0"/>
            <c:bubble3D val="0"/>
            <c:explosion val="5"/>
            <c:spPr>
              <a:solidFill>
                <a:srgbClr val="80AE9A"/>
              </a:solidFill>
              <a:ln w="19050">
                <a:solidFill>
                  <a:srgbClr val="80AE9A"/>
                </a:solidFill>
              </a:ln>
              <a:effectLst/>
            </c:spPr>
            <c:extLst xmlns:c16r2="http://schemas.microsoft.com/office/drawing/2015/06/chart">
              <c:ext xmlns:c16="http://schemas.microsoft.com/office/drawing/2014/chart" uri="{C3380CC4-5D6E-409C-BE32-E72D297353CC}">
                <c16:uniqueId val="{00000001-0787-4B40-8FD2-74EFBB2C46C9}"/>
              </c:ext>
            </c:extLst>
          </c:dPt>
          <c:dPt>
            <c:idx val="1"/>
            <c:bubble3D val="0"/>
            <c:explosion val="2"/>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3-0787-4B40-8FD2-74EFBB2C46C9}"/>
              </c:ext>
            </c:extLst>
          </c:dPt>
          <c:dPt>
            <c:idx val="2"/>
            <c:bubble3D val="0"/>
            <c:explosion val="2"/>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5-0787-4B40-8FD2-74EFBB2C46C9}"/>
              </c:ext>
            </c:extLst>
          </c:dPt>
          <c:dPt>
            <c:idx val="3"/>
            <c:bubble3D val="0"/>
            <c:explosion val="2"/>
            <c:spPr>
              <a:solidFill>
                <a:srgbClr val="2066A8"/>
              </a:solidFill>
              <a:ln w="19050">
                <a:solidFill>
                  <a:srgbClr val="2066A8"/>
                </a:solidFill>
              </a:ln>
              <a:effectLst/>
            </c:spPr>
            <c:extLst xmlns:c16r2="http://schemas.microsoft.com/office/drawing/2015/06/chart">
              <c:ext xmlns:c16="http://schemas.microsoft.com/office/drawing/2014/chart" uri="{C3380CC4-5D6E-409C-BE32-E72D297353CC}">
                <c16:uniqueId val="{00000007-0787-4B40-8FD2-74EFBB2C46C9}"/>
              </c:ext>
            </c:extLst>
          </c:dPt>
          <c:dLbls>
            <c:dLbl>
              <c:idx val="0"/>
              <c:layout>
                <c:manualLayout>
                  <c:x val="0.140053913470432"/>
                  <c:y val="1.14897849565017E-2"/>
                </c:manualLayout>
              </c:layout>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787-4B40-8FD2-74EFBB2C46C9}"/>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Age!$A$2:$A$5</c:f>
              <c:strCache>
                <c:ptCount val="4"/>
                <c:pt idx="0">
                  <c:v>Under 18</c:v>
                </c:pt>
                <c:pt idx="1">
                  <c:v>18-24</c:v>
                </c:pt>
                <c:pt idx="2">
                  <c:v>25-34</c:v>
                </c:pt>
                <c:pt idx="3">
                  <c:v>35 and more</c:v>
                </c:pt>
              </c:strCache>
            </c:strRef>
          </c:cat>
          <c:val>
            <c:numRef>
              <c:f>Age!$C$2:$C$5</c:f>
              <c:numCache>
                <c:formatCode>0.0%</c:formatCode>
                <c:ptCount val="4"/>
                <c:pt idx="0">
                  <c:v>1.4999999999999999E-2</c:v>
                </c:pt>
                <c:pt idx="1">
                  <c:v>0.46500000000000002</c:v>
                </c:pt>
                <c:pt idx="2" formatCode="0%">
                  <c:v>0.43</c:v>
                </c:pt>
                <c:pt idx="3" formatCode="0%">
                  <c:v>0.09</c:v>
                </c:pt>
              </c:numCache>
            </c:numRef>
          </c:val>
          <c:extLst xmlns:c16r2="http://schemas.microsoft.com/office/drawing/2015/06/chart">
            <c:ext xmlns:c16="http://schemas.microsoft.com/office/drawing/2014/chart" uri="{C3380CC4-5D6E-409C-BE32-E72D297353CC}">
              <c16:uniqueId val="{00000008-0787-4B40-8FD2-74EFBB2C46C9}"/>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2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d0fa6874-3743-4f1c-b33a-f79f8e592520}"/>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
          <c:dPt>
            <c:idx val="0"/>
            <c:bubble3D val="0"/>
            <c:spPr>
              <a:solidFill>
                <a:srgbClr val="2066A8"/>
              </a:solidFill>
              <a:ln w="19050">
                <a:solidFill>
                  <a:srgbClr val="2066A8"/>
                </a:solidFill>
              </a:ln>
              <a:effectLst/>
            </c:spPr>
            <c:extLst xmlns:c16r2="http://schemas.microsoft.com/office/drawing/2015/06/chart">
              <c:ext xmlns:c16="http://schemas.microsoft.com/office/drawing/2014/chart" uri="{C3380CC4-5D6E-409C-BE32-E72D297353CC}">
                <c16:uniqueId val="{00000001-02F5-477E-8B8F-A147CFD77609}"/>
              </c:ext>
            </c:extLst>
          </c:dPt>
          <c:dPt>
            <c:idx val="1"/>
            <c:bubble3D val="0"/>
            <c:spPr>
              <a:solidFill>
                <a:srgbClr val="80AE9A"/>
              </a:solidFill>
              <a:ln w="19050">
                <a:solidFill>
                  <a:srgbClr val="80AE9A"/>
                </a:solidFill>
              </a:ln>
              <a:effectLst/>
            </c:spPr>
            <c:extLst xmlns:c16r2="http://schemas.microsoft.com/office/drawing/2015/06/chart">
              <c:ext xmlns:c16="http://schemas.microsoft.com/office/drawing/2014/chart" uri="{C3380CC4-5D6E-409C-BE32-E72D297353CC}">
                <c16:uniqueId val="{00000003-02F5-477E-8B8F-A147CFD77609}"/>
              </c:ext>
            </c:extLst>
          </c:dPt>
          <c:dPt>
            <c:idx val="2"/>
            <c:bubble3D val="0"/>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5-02F5-477E-8B8F-A147CFD77609}"/>
              </c:ext>
            </c:extLst>
          </c:dPt>
          <c:dPt>
            <c:idx val="3"/>
            <c:bubble3D val="0"/>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7-02F5-477E-8B8F-A147CFD77609}"/>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Education!$A$2:$A$5</c:f>
              <c:strCache>
                <c:ptCount val="4"/>
                <c:pt idx="0">
                  <c:v>No formal education</c:v>
                </c:pt>
                <c:pt idx="1">
                  <c:v>Primary school</c:v>
                </c:pt>
                <c:pt idx="2">
                  <c:v>High school</c:v>
                </c:pt>
                <c:pt idx="3">
                  <c:v>College/ University</c:v>
                </c:pt>
              </c:strCache>
            </c:strRef>
          </c:cat>
          <c:val>
            <c:numRef>
              <c:f>Education!$C$2:$C$5</c:f>
              <c:numCache>
                <c:formatCode>General</c:formatCode>
                <c:ptCount val="4"/>
                <c:pt idx="2" formatCode="0%">
                  <c:v>0.06</c:v>
                </c:pt>
                <c:pt idx="3" formatCode="0%">
                  <c:v>0.94</c:v>
                </c:pt>
              </c:numCache>
            </c:numRef>
          </c:val>
          <c:extLst xmlns:c16r2="http://schemas.microsoft.com/office/drawing/2015/06/chart">
            <c:ext xmlns:c16="http://schemas.microsoft.com/office/drawing/2014/chart" uri="{C3380CC4-5D6E-409C-BE32-E72D297353CC}">
              <c16:uniqueId val="{00000008-02F5-477E-8B8F-A147CFD77609}"/>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1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e48e3877-fbbc-40a9-8695-b0f7dd52246f}"/>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Survey!$A$2:$A$17</c:f>
              <c:strCache>
                <c:ptCount val="1"/>
                <c:pt idx="0">
                  <c:v>Ponds Hemani Dove dal dena Himalya Fair&amp;lovely Golden pearl Parley Elmore Saeed ghani Dermolite Delish Urooj Cool &amp; clean Dove  Nivea CeraVe</c:v>
                </c:pt>
              </c:strCache>
            </c:strRef>
          </c:tx>
          <c:spPr>
            <a:solidFill>
              <a:schemeClr val="accent1"/>
            </a:solidFill>
            <a:ln>
              <a:noFill/>
            </a:ln>
            <a:effectLst/>
          </c:spPr>
          <c:invertIfNegative val="0"/>
          <c:dPt>
            <c:idx val="0"/>
            <c:invertIfNegative val="0"/>
            <c:bubble3D val="0"/>
            <c:spPr>
              <a:solidFill>
                <a:srgbClr val="B5D1AE"/>
              </a:solidFill>
              <a:ln>
                <a:solidFill>
                  <a:srgbClr val="B5D1AE"/>
                </a:solidFill>
              </a:ln>
              <a:effectLst/>
            </c:spPr>
            <c:extLst xmlns:c16r2="http://schemas.microsoft.com/office/drawing/2015/06/chart">
              <c:ext xmlns:c16="http://schemas.microsoft.com/office/drawing/2014/chart" uri="{C3380CC4-5D6E-409C-BE32-E72D297353CC}">
                <c16:uniqueId val="{00000001-5D5F-42E2-9086-AA18DEC2F445}"/>
              </c:ext>
            </c:extLst>
          </c:dPt>
          <c:dPt>
            <c:idx val="1"/>
            <c:invertIfNegative val="0"/>
            <c:bubble3D val="0"/>
            <c:spPr>
              <a:solidFill>
                <a:srgbClr val="80AE9A"/>
              </a:solidFill>
              <a:ln>
                <a:solidFill>
                  <a:srgbClr val="80AE9A"/>
                </a:solidFill>
              </a:ln>
              <a:effectLst/>
            </c:spPr>
            <c:extLst xmlns:c16r2="http://schemas.microsoft.com/office/drawing/2015/06/chart">
              <c:ext xmlns:c16="http://schemas.microsoft.com/office/drawing/2014/chart" uri="{C3380CC4-5D6E-409C-BE32-E72D297353CC}">
                <c16:uniqueId val="{00000003-5D5F-42E2-9086-AA18DEC2F445}"/>
              </c:ext>
            </c:extLst>
          </c:dPt>
          <c:dPt>
            <c:idx val="2"/>
            <c:invertIfNegative val="0"/>
            <c:bubble3D val="0"/>
            <c:spPr>
              <a:solidFill>
                <a:srgbClr val="568B87"/>
              </a:solidFill>
              <a:ln>
                <a:solidFill>
                  <a:srgbClr val="568B87"/>
                </a:solidFill>
              </a:ln>
              <a:effectLst/>
            </c:spPr>
            <c:extLst xmlns:c16r2="http://schemas.microsoft.com/office/drawing/2015/06/chart">
              <c:ext xmlns:c16="http://schemas.microsoft.com/office/drawing/2014/chart" uri="{C3380CC4-5D6E-409C-BE32-E72D297353CC}">
                <c16:uniqueId val="{00000005-5D5F-42E2-9086-AA18DEC2F445}"/>
              </c:ext>
            </c:extLst>
          </c:dPt>
          <c:dPt>
            <c:idx val="3"/>
            <c:invertIfNegative val="0"/>
            <c:bubble3D val="0"/>
            <c:spPr>
              <a:solidFill>
                <a:srgbClr val="326B77"/>
              </a:solidFill>
              <a:ln>
                <a:solidFill>
                  <a:srgbClr val="326B77"/>
                </a:solidFill>
              </a:ln>
              <a:effectLst/>
            </c:spPr>
            <c:extLst xmlns:c16r2="http://schemas.microsoft.com/office/drawing/2015/06/chart">
              <c:ext xmlns:c16="http://schemas.microsoft.com/office/drawing/2014/chart" uri="{C3380CC4-5D6E-409C-BE32-E72D297353CC}">
                <c16:uniqueId val="{00000007-5D5F-42E2-9086-AA18DEC2F445}"/>
              </c:ext>
            </c:extLst>
          </c:dPt>
          <c:dPt>
            <c:idx val="4"/>
            <c:invertIfNegative val="0"/>
            <c:bubble3D val="0"/>
            <c:spPr>
              <a:solidFill>
                <a:srgbClr val="1B485E"/>
              </a:solidFill>
              <a:ln>
                <a:solidFill>
                  <a:srgbClr val="1B485E"/>
                </a:solidFill>
              </a:ln>
              <a:effectLst/>
            </c:spPr>
            <c:extLst xmlns:c16r2="http://schemas.microsoft.com/office/drawing/2015/06/chart">
              <c:ext xmlns:c16="http://schemas.microsoft.com/office/drawing/2014/chart" uri="{C3380CC4-5D6E-409C-BE32-E72D297353CC}">
                <c16:uniqueId val="{00000009-5D5F-42E2-9086-AA18DEC2F445}"/>
              </c:ext>
            </c:extLst>
          </c:dPt>
          <c:dPt>
            <c:idx val="5"/>
            <c:invertIfNegative val="0"/>
            <c:bubble3D val="0"/>
            <c:spPr>
              <a:solidFill>
                <a:srgbClr val="122740"/>
              </a:solidFill>
              <a:ln>
                <a:solidFill>
                  <a:srgbClr val="122740"/>
                </a:solidFill>
              </a:ln>
              <a:effectLst/>
            </c:spPr>
            <c:extLst xmlns:c16r2="http://schemas.microsoft.com/office/drawing/2015/06/chart">
              <c:ext xmlns:c16="http://schemas.microsoft.com/office/drawing/2014/chart" uri="{C3380CC4-5D6E-409C-BE32-E72D297353CC}">
                <c16:uniqueId val="{0000000B-5D5F-42E2-9086-AA18DEC2F445}"/>
              </c:ext>
            </c:extLst>
          </c:dPt>
          <c:dPt>
            <c:idx val="6"/>
            <c:invertIfNegative val="0"/>
            <c:bubble3D val="0"/>
            <c:spPr>
              <a:solidFill>
                <a:srgbClr val="AE282C"/>
              </a:solidFill>
              <a:ln>
                <a:solidFill>
                  <a:srgbClr val="AE282C"/>
                </a:solidFill>
              </a:ln>
              <a:effectLst/>
            </c:spPr>
            <c:extLst xmlns:c16r2="http://schemas.microsoft.com/office/drawing/2015/06/chart">
              <c:ext xmlns:c16="http://schemas.microsoft.com/office/drawing/2014/chart" uri="{C3380CC4-5D6E-409C-BE32-E72D297353CC}">
                <c16:uniqueId val="{0000000D-5D5F-42E2-9086-AA18DEC2F445}"/>
              </c:ext>
            </c:extLst>
          </c:dPt>
          <c:dPt>
            <c:idx val="7"/>
            <c:invertIfNegative val="0"/>
            <c:bubble3D val="0"/>
            <c:spPr>
              <a:solidFill>
                <a:srgbClr val="D47264"/>
              </a:solidFill>
              <a:ln>
                <a:solidFill>
                  <a:srgbClr val="D47264"/>
                </a:solidFill>
              </a:ln>
              <a:effectLst/>
            </c:spPr>
            <c:extLst xmlns:c16r2="http://schemas.microsoft.com/office/drawing/2015/06/chart">
              <c:ext xmlns:c16="http://schemas.microsoft.com/office/drawing/2014/chart" uri="{C3380CC4-5D6E-409C-BE32-E72D297353CC}">
                <c16:uniqueId val="{0000000F-5D5F-42E2-9086-AA18DEC2F445}"/>
              </c:ext>
            </c:extLst>
          </c:dPt>
          <c:dPt>
            <c:idx val="8"/>
            <c:invertIfNegative val="0"/>
            <c:bubble3D val="0"/>
            <c:spPr>
              <a:solidFill>
                <a:srgbClr val="F6D6C2"/>
              </a:solidFill>
              <a:ln>
                <a:solidFill>
                  <a:srgbClr val="F6D6C2"/>
                </a:solidFill>
              </a:ln>
              <a:effectLst/>
            </c:spPr>
            <c:extLst xmlns:c16r2="http://schemas.microsoft.com/office/drawing/2015/06/chart">
              <c:ext xmlns:c16="http://schemas.microsoft.com/office/drawing/2014/chart" uri="{C3380CC4-5D6E-409C-BE32-E72D297353CC}">
                <c16:uniqueId val="{00000011-5D5F-42E2-9086-AA18DEC2F445}"/>
              </c:ext>
            </c:extLst>
          </c:dPt>
          <c:dPt>
            <c:idx val="9"/>
            <c:invertIfNegative val="0"/>
            <c:bubble3D val="0"/>
            <c:spPr>
              <a:solidFill>
                <a:srgbClr val="EDEDED"/>
              </a:solidFill>
              <a:ln>
                <a:solidFill>
                  <a:srgbClr val="EDEDED"/>
                </a:solidFill>
              </a:ln>
              <a:effectLst/>
            </c:spPr>
            <c:extLst xmlns:c16r2="http://schemas.microsoft.com/office/drawing/2015/06/chart">
              <c:ext xmlns:c16="http://schemas.microsoft.com/office/drawing/2014/chart" uri="{C3380CC4-5D6E-409C-BE32-E72D297353CC}">
                <c16:uniqueId val="{00000013-5D5F-42E2-9086-AA18DEC2F445}"/>
              </c:ext>
            </c:extLst>
          </c:dPt>
          <c:dPt>
            <c:idx val="10"/>
            <c:invertIfNegative val="0"/>
            <c:bubble3D val="0"/>
            <c:spPr>
              <a:solidFill>
                <a:srgbClr val="CDE1EC"/>
              </a:solidFill>
              <a:ln>
                <a:solidFill>
                  <a:srgbClr val="CDE1EC"/>
                </a:solidFill>
              </a:ln>
              <a:effectLst/>
            </c:spPr>
            <c:extLst xmlns:c16r2="http://schemas.microsoft.com/office/drawing/2015/06/chart">
              <c:ext xmlns:c16="http://schemas.microsoft.com/office/drawing/2014/chart" uri="{C3380CC4-5D6E-409C-BE32-E72D297353CC}">
                <c16:uniqueId val="{00000015-5D5F-42E2-9086-AA18DEC2F445}"/>
              </c:ext>
            </c:extLst>
          </c:dPt>
          <c:dPt>
            <c:idx val="11"/>
            <c:invertIfNegative val="0"/>
            <c:bubble3D val="0"/>
            <c:spPr>
              <a:solidFill>
                <a:srgbClr val="8EC1DA"/>
              </a:solidFill>
              <a:ln>
                <a:solidFill>
                  <a:srgbClr val="8EC1DA"/>
                </a:solidFill>
              </a:ln>
              <a:effectLst/>
            </c:spPr>
            <c:extLst xmlns:c16r2="http://schemas.microsoft.com/office/drawing/2015/06/chart">
              <c:ext xmlns:c16="http://schemas.microsoft.com/office/drawing/2014/chart" uri="{C3380CC4-5D6E-409C-BE32-E72D297353CC}">
                <c16:uniqueId val="{00000017-5D5F-42E2-9086-AA18DEC2F445}"/>
              </c:ext>
            </c:extLst>
          </c:dPt>
          <c:dPt>
            <c:idx val="12"/>
            <c:invertIfNegative val="0"/>
            <c:bubble3D val="0"/>
            <c:spPr>
              <a:solidFill>
                <a:srgbClr val="2066A8"/>
              </a:solidFill>
              <a:ln>
                <a:solidFill>
                  <a:srgbClr val="2066A8"/>
                </a:solidFill>
              </a:ln>
              <a:effectLst/>
            </c:spPr>
            <c:extLst xmlns:c16r2="http://schemas.microsoft.com/office/drawing/2015/06/chart">
              <c:ext xmlns:c16="http://schemas.microsoft.com/office/drawing/2014/chart" uri="{C3380CC4-5D6E-409C-BE32-E72D297353CC}">
                <c16:uniqueId val="{00000019-5D5F-42E2-9086-AA18DEC2F445}"/>
              </c:ext>
            </c:extLst>
          </c:dPt>
          <c:dPt>
            <c:idx val="13"/>
            <c:invertIfNegative val="0"/>
            <c:bubble3D val="0"/>
            <c:spPr>
              <a:solidFill>
                <a:srgbClr val="A559AA"/>
              </a:solidFill>
              <a:ln>
                <a:solidFill>
                  <a:srgbClr val="A559AA"/>
                </a:solidFill>
              </a:ln>
              <a:effectLst/>
            </c:spPr>
            <c:extLst xmlns:c16r2="http://schemas.microsoft.com/office/drawing/2015/06/chart">
              <c:ext xmlns:c16="http://schemas.microsoft.com/office/drawing/2014/chart" uri="{C3380CC4-5D6E-409C-BE32-E72D297353CC}">
                <c16:uniqueId val="{0000001B-5D5F-42E2-9086-AA18DEC2F445}"/>
              </c:ext>
            </c:extLst>
          </c:dPt>
          <c:dPt>
            <c:idx val="14"/>
            <c:invertIfNegative val="0"/>
            <c:bubble3D val="0"/>
            <c:spPr>
              <a:solidFill>
                <a:srgbClr val="CCA1CF"/>
              </a:solidFill>
              <a:ln>
                <a:solidFill>
                  <a:srgbClr val="CCA1CF"/>
                </a:solidFill>
              </a:ln>
              <a:effectLst/>
            </c:spPr>
            <c:extLst xmlns:c16r2="http://schemas.microsoft.com/office/drawing/2015/06/chart">
              <c:ext xmlns:c16="http://schemas.microsoft.com/office/drawing/2014/chart" uri="{C3380CC4-5D6E-409C-BE32-E72D297353CC}">
                <c16:uniqueId val="{0000001D-5D5F-42E2-9086-AA18DEC2F445}"/>
              </c:ext>
            </c:extLst>
          </c:dPt>
          <c:dPt>
            <c:idx val="15"/>
            <c:invertIfNegative val="0"/>
            <c:bubble3D val="0"/>
            <c:spPr>
              <a:solidFill>
                <a:srgbClr val="CECECE"/>
              </a:solidFill>
              <a:ln>
                <a:solidFill>
                  <a:srgbClr val="CECECE"/>
                </a:solidFill>
              </a:ln>
              <a:effectLst/>
            </c:spPr>
            <c:extLst xmlns:c16r2="http://schemas.microsoft.com/office/drawing/2015/06/chart">
              <c:ext xmlns:c16="http://schemas.microsoft.com/office/drawing/2014/chart" uri="{C3380CC4-5D6E-409C-BE32-E72D297353CC}">
                <c16:uniqueId val="{0000001F-5D5F-42E2-9086-AA18DEC2F445}"/>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Survey!$A$2:$A$17</c:f>
              <c:strCache>
                <c:ptCount val="16"/>
                <c:pt idx="0">
                  <c:v>Ponds</c:v>
                </c:pt>
                <c:pt idx="1">
                  <c:v>Hemani</c:v>
                </c:pt>
                <c:pt idx="2">
                  <c:v>Dove dal dena</c:v>
                </c:pt>
                <c:pt idx="3">
                  <c:v>Himalya</c:v>
                </c:pt>
                <c:pt idx="4">
                  <c:v>Fair&amp;lovely</c:v>
                </c:pt>
                <c:pt idx="5">
                  <c:v>Golden pearl</c:v>
                </c:pt>
                <c:pt idx="6">
                  <c:v>Parley</c:v>
                </c:pt>
                <c:pt idx="7">
                  <c:v>Elmore</c:v>
                </c:pt>
                <c:pt idx="8">
                  <c:v>Saeed ghani</c:v>
                </c:pt>
                <c:pt idx="9">
                  <c:v>Dermolite</c:v>
                </c:pt>
                <c:pt idx="10">
                  <c:v>Delish</c:v>
                </c:pt>
                <c:pt idx="11">
                  <c:v>Urooj</c:v>
                </c:pt>
                <c:pt idx="12">
                  <c:v>Cool &amp; clean</c:v>
                </c:pt>
                <c:pt idx="13">
                  <c:v>Dove </c:v>
                </c:pt>
                <c:pt idx="14">
                  <c:v>Nivea</c:v>
                </c:pt>
                <c:pt idx="15">
                  <c:v>CeraVe</c:v>
                </c:pt>
              </c:strCache>
            </c:strRef>
          </c:cat>
          <c:val>
            <c:numRef>
              <c:f>Survey!$C$2:$C$17</c:f>
              <c:numCache>
                <c:formatCode>0.0%</c:formatCode>
                <c:ptCount val="16"/>
                <c:pt idx="0">
                  <c:v>3.5000000000000003E-2</c:v>
                </c:pt>
                <c:pt idx="1">
                  <c:v>2.5000000000000001E-2</c:v>
                </c:pt>
                <c:pt idx="2">
                  <c:v>2.5000000000000001E-2</c:v>
                </c:pt>
                <c:pt idx="3" formatCode="0%">
                  <c:v>0.15</c:v>
                </c:pt>
                <c:pt idx="4">
                  <c:v>0.115</c:v>
                </c:pt>
                <c:pt idx="5">
                  <c:v>7.4999999999999997E-2</c:v>
                </c:pt>
                <c:pt idx="6">
                  <c:v>9.5000000000000001E-2</c:v>
                </c:pt>
                <c:pt idx="7" formatCode="0%">
                  <c:v>7.0000000000000007E-2</c:v>
                </c:pt>
                <c:pt idx="8" formatCode="0%">
                  <c:v>0.09</c:v>
                </c:pt>
                <c:pt idx="9" formatCode="0%">
                  <c:v>7.0000000000000007E-2</c:v>
                </c:pt>
                <c:pt idx="10">
                  <c:v>6.5000000000000002E-2</c:v>
                </c:pt>
                <c:pt idx="11">
                  <c:v>7.4999999999999997E-2</c:v>
                </c:pt>
                <c:pt idx="12">
                  <c:v>7.4999999999999997E-2</c:v>
                </c:pt>
                <c:pt idx="13" formatCode="0%">
                  <c:v>0.01</c:v>
                </c:pt>
                <c:pt idx="14">
                  <c:v>1.4999999999999999E-2</c:v>
                </c:pt>
                <c:pt idx="15" formatCode="0%">
                  <c:v>0.01</c:v>
                </c:pt>
              </c:numCache>
            </c:numRef>
          </c:val>
          <c:extLst xmlns:c16r2="http://schemas.microsoft.com/office/drawing/2015/06/chart">
            <c:ext xmlns:c16="http://schemas.microsoft.com/office/drawing/2014/chart" uri="{C3380CC4-5D6E-409C-BE32-E72D297353CC}">
              <c16:uniqueId val="{00000020-5D5F-42E2-9086-AA18DEC2F445}"/>
            </c:ext>
          </c:extLst>
        </c:ser>
        <c:dLbls>
          <c:showLegendKey val="0"/>
          <c:showVal val="1"/>
          <c:showCatName val="0"/>
          <c:showSerName val="0"/>
          <c:showPercent val="0"/>
          <c:showBubbleSize val="0"/>
        </c:dLbls>
        <c:gapWidth val="50"/>
        <c:overlap val="-5"/>
        <c:axId val="397724664"/>
        <c:axId val="397725056"/>
      </c:barChart>
      <c:catAx>
        <c:axId val="397724664"/>
        <c:scaling>
          <c:orientation val="minMax"/>
        </c:scaling>
        <c:delete val="0"/>
        <c:axPos val="b"/>
        <c:title>
          <c:tx>
            <c:rich>
              <a:bodyPr rot="0" spcFirstLastPara="1" vertOverflow="ellipsis" vert="horz" wrap="square" anchor="ctr" anchorCtr="1"/>
              <a:lstStyle/>
              <a:p>
                <a:pPr>
                  <a:defRPr lang="en-US" sz="1200" b="1" i="0" u="none" strike="noStrike" kern="1200" baseline="0">
                    <a:solidFill>
                      <a:sysClr val="windowText" lastClr="000000"/>
                    </a:solidFill>
                    <a:latin typeface="Times New Roman" panose="02020603050405020304" charset="0"/>
                    <a:ea typeface="+mn-ea"/>
                    <a:cs typeface="Times New Roman" panose="02020603050405020304" charset="0"/>
                  </a:defRPr>
                </a:pPr>
                <a:r>
                  <a:rPr lang="en-US" sz="1200" b="1">
                    <a:solidFill>
                      <a:sysClr val="windowText" lastClr="000000"/>
                    </a:solidFill>
                    <a:latin typeface="Times New Roman" panose="02020603050405020304" charset="0"/>
                    <a:cs typeface="Times New Roman" panose="02020603050405020304" charset="0"/>
                  </a:rPr>
                  <a:t>Brands</a:t>
                </a:r>
              </a:p>
            </c:rich>
          </c:tx>
          <c:layout/>
          <c:overlay val="0"/>
          <c:spPr>
            <a:noFill/>
            <a:ln>
              <a:noFill/>
            </a:ln>
            <a:effectLst/>
          </c:spPr>
          <c:txPr>
            <a:bodyPr rot="0" spcFirstLastPara="1" vertOverflow="ellipsis" vert="horz" wrap="square" anchor="ctr" anchorCtr="1"/>
            <a:lstStyle/>
            <a:p>
              <a:pPr>
                <a:defRPr lang="en-US" sz="12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crossAx val="397725056"/>
        <c:crosses val="autoZero"/>
        <c:auto val="1"/>
        <c:lblAlgn val="ctr"/>
        <c:lblOffset val="100"/>
        <c:noMultiLvlLbl val="0"/>
      </c:catAx>
      <c:valAx>
        <c:axId val="397725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1" i="0" u="none" strike="noStrike" kern="1200" baseline="0">
                    <a:solidFill>
                      <a:sysClr val="windowText" lastClr="000000"/>
                    </a:solidFill>
                    <a:latin typeface="Times New Roman" panose="02020603050405020304" charset="0"/>
                    <a:ea typeface="+mn-ea"/>
                    <a:cs typeface="Times New Roman" panose="02020603050405020304" charset="0"/>
                  </a:defRPr>
                </a:pPr>
                <a:r>
                  <a:rPr lang="en-US" sz="1200" b="1">
                    <a:solidFill>
                      <a:sysClr val="windowText" lastClr="000000"/>
                    </a:solidFill>
                    <a:latin typeface="Times New Roman" panose="02020603050405020304" charset="0"/>
                    <a:cs typeface="Times New Roman" panose="02020603050405020304" charset="0"/>
                  </a:rPr>
                  <a:t>Percentage</a:t>
                </a:r>
                <a:r>
                  <a:rPr lang="en-US" sz="1200" b="1" baseline="0">
                    <a:solidFill>
                      <a:sysClr val="windowText" lastClr="000000"/>
                    </a:solidFill>
                    <a:latin typeface="Times New Roman" panose="02020603050405020304" charset="0"/>
                    <a:cs typeface="Times New Roman" panose="02020603050405020304" charset="0"/>
                  </a:rPr>
                  <a:t> User</a:t>
                </a:r>
                <a:endParaRPr lang="en-US" sz="1200" b="1">
                  <a:solidFill>
                    <a:sysClr val="windowText" lastClr="000000"/>
                  </a:solidFill>
                  <a:latin typeface="Times New Roman" panose="02020603050405020304" charset="0"/>
                  <a:cs typeface="Times New Roman" panose="02020603050405020304" charset="0"/>
                </a:endParaRPr>
              </a:p>
            </c:rich>
          </c:tx>
          <c:layout/>
          <c:overlay val="0"/>
          <c:spPr>
            <a:noFill/>
            <a:ln>
              <a:noFill/>
            </a:ln>
            <a:effectLst/>
          </c:spPr>
          <c:txPr>
            <a:bodyPr rot="-5400000" spcFirstLastPara="1" vertOverflow="ellipsis" vert="horz" wrap="square" anchor="ctr" anchorCtr="1"/>
            <a:lstStyle/>
            <a:p>
              <a:pPr>
                <a:defRPr lang="en-US" sz="12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lang="en-US"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crossAx val="397724664"/>
        <c:crosses val="autoZero"/>
        <c:crossBetween val="between"/>
      </c:valAx>
      <c:spPr>
        <a:noFill/>
        <a:ln>
          <a:noFill/>
        </a:ln>
        <a:effectLst/>
      </c:spPr>
    </c:plotArea>
    <c:plotVisOnly val="1"/>
    <c:dispBlanksAs val="gap"/>
    <c:showDLblsOverMax val="0"/>
    <c:extLst xmlns:c16r2="http://schemas.microsoft.com/office/drawing/2015/06/chart">
      <c:ext uri="{0b15fc19-7d7d-44ad-8c2d-2c3a37ce22c3}">
        <chartProps xmlns="https://web.wps.cn/et/2018/main" chartId="{1aafc8ce-fab5-4a29-b777-c86029c9b3eb}"/>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
          <c:dPt>
            <c:idx val="0"/>
            <c:bubble3D val="0"/>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1-D5A8-448C-8330-06FC8DD9D536}"/>
              </c:ext>
            </c:extLst>
          </c:dPt>
          <c:dPt>
            <c:idx val="1"/>
            <c:bubble3D val="0"/>
            <c:spPr>
              <a:solidFill>
                <a:srgbClr val="2066A8"/>
              </a:solidFill>
              <a:ln w="19050">
                <a:solidFill>
                  <a:srgbClr val="2066A8"/>
                </a:solidFill>
              </a:ln>
              <a:effectLst/>
            </c:spPr>
            <c:extLst xmlns:c16r2="http://schemas.microsoft.com/office/drawing/2015/06/chart">
              <c:ext xmlns:c16="http://schemas.microsoft.com/office/drawing/2014/chart" uri="{C3380CC4-5D6E-409C-BE32-E72D297353CC}">
                <c16:uniqueId val="{00000003-D5A8-448C-8330-06FC8DD9D536}"/>
              </c:ext>
            </c:extLst>
          </c:dPt>
          <c:dPt>
            <c:idx val="2"/>
            <c:bubble3D val="0"/>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5-D5A8-448C-8330-06FC8DD9D536}"/>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'Often Use Facewash'!$A$2:$A$4</c:f>
              <c:strCache>
                <c:ptCount val="3"/>
                <c:pt idx="0">
                  <c:v>Daily</c:v>
                </c:pt>
                <c:pt idx="1">
                  <c:v>Weekly</c:v>
                </c:pt>
                <c:pt idx="2">
                  <c:v>Occasionally</c:v>
                </c:pt>
              </c:strCache>
            </c:strRef>
          </c:cat>
          <c:val>
            <c:numRef>
              <c:f>'Often Use Facewash'!$C$2:$C$4</c:f>
              <c:numCache>
                <c:formatCode>0.0%</c:formatCode>
                <c:ptCount val="3"/>
                <c:pt idx="0" formatCode="0%">
                  <c:v>0.74</c:v>
                </c:pt>
                <c:pt idx="1">
                  <c:v>0.105</c:v>
                </c:pt>
                <c:pt idx="2">
                  <c:v>0.155</c:v>
                </c:pt>
              </c:numCache>
            </c:numRef>
          </c:val>
          <c:extLst xmlns:c16r2="http://schemas.microsoft.com/office/drawing/2015/06/chart">
            <c:ext xmlns:c16="http://schemas.microsoft.com/office/drawing/2014/chart" uri="{C3380CC4-5D6E-409C-BE32-E72D297353CC}">
              <c16:uniqueId val="{00000006-D5A8-448C-8330-06FC8DD9D536}"/>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2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696bddda-f658-4e24-b520-21f599dad5c2}"/>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
          <c:dPt>
            <c:idx val="0"/>
            <c:bubble3D val="0"/>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1-69A8-4F6C-871D-0324E9DE4EB9}"/>
              </c:ext>
            </c:extLst>
          </c:dPt>
          <c:dPt>
            <c:idx val="1"/>
            <c:bubble3D val="0"/>
            <c:spPr>
              <a:solidFill>
                <a:srgbClr val="80AE9A"/>
              </a:solidFill>
              <a:ln w="19050">
                <a:solidFill>
                  <a:srgbClr val="80AE9A"/>
                </a:solidFill>
              </a:ln>
              <a:effectLst/>
            </c:spPr>
            <c:extLst xmlns:c16r2="http://schemas.microsoft.com/office/drawing/2015/06/chart">
              <c:ext xmlns:c16="http://schemas.microsoft.com/office/drawing/2014/chart" uri="{C3380CC4-5D6E-409C-BE32-E72D297353CC}">
                <c16:uniqueId val="{00000003-69A8-4F6C-871D-0324E9DE4EB9}"/>
              </c:ext>
            </c:extLst>
          </c:dPt>
          <c:dPt>
            <c:idx val="2"/>
            <c:bubble3D val="0"/>
            <c:spPr>
              <a:solidFill>
                <a:srgbClr val="2066A8"/>
              </a:solidFill>
              <a:ln w="19050">
                <a:solidFill>
                  <a:srgbClr val="2066A8"/>
                </a:solidFill>
              </a:ln>
              <a:effectLst/>
            </c:spPr>
            <c:extLst xmlns:c16r2="http://schemas.microsoft.com/office/drawing/2015/06/chart">
              <c:ext xmlns:c16="http://schemas.microsoft.com/office/drawing/2014/chart" uri="{C3380CC4-5D6E-409C-BE32-E72D297353CC}">
                <c16:uniqueId val="{00000005-69A8-4F6C-871D-0324E9DE4EB9}"/>
              </c:ext>
            </c:extLst>
          </c:dPt>
          <c:dPt>
            <c:idx val="3"/>
            <c:bubble3D val="0"/>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7-69A8-4F6C-871D-0324E9DE4EB9}"/>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'Use Facewash In One Day'!$A$2:$A$5</c:f>
              <c:strCache>
                <c:ptCount val="4"/>
                <c:pt idx="0">
                  <c:v>Multiple times a day</c:v>
                </c:pt>
                <c:pt idx="1">
                  <c:v>Once a day</c:v>
                </c:pt>
                <c:pt idx="2">
                  <c:v>A few times a week</c:v>
                </c:pt>
                <c:pt idx="3">
                  <c:v>Once a week</c:v>
                </c:pt>
              </c:strCache>
            </c:strRef>
          </c:cat>
          <c:val>
            <c:numRef>
              <c:f>'Use Facewash In One Day'!$C$2:$C$5</c:f>
              <c:numCache>
                <c:formatCode>0%</c:formatCode>
                <c:ptCount val="4"/>
                <c:pt idx="0">
                  <c:v>0.34</c:v>
                </c:pt>
                <c:pt idx="1">
                  <c:v>0.4</c:v>
                </c:pt>
                <c:pt idx="2" formatCode="0.0%">
                  <c:v>0.13500000000000001</c:v>
                </c:pt>
                <c:pt idx="3" formatCode="0.0%">
                  <c:v>0.125</c:v>
                </c:pt>
              </c:numCache>
            </c:numRef>
          </c:val>
          <c:extLst xmlns:c16r2="http://schemas.microsoft.com/office/drawing/2015/06/chart">
            <c:ext xmlns:c16="http://schemas.microsoft.com/office/drawing/2014/chart" uri="{C3380CC4-5D6E-409C-BE32-E72D297353CC}">
              <c16:uniqueId val="{00000008-69A8-4F6C-871D-0324E9DE4EB9}"/>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1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e5d257fa-fb38-413a-99ff-53189b673467}"/>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ln w="19050">
              <a:noFill/>
            </a:ln>
          </c:spPr>
          <c:explosion val="2"/>
          <c:dPt>
            <c:idx val="0"/>
            <c:bubble3D val="0"/>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1-677D-496F-947C-D37A59CC88E5}"/>
              </c:ext>
            </c:extLst>
          </c:dPt>
          <c:dPt>
            <c:idx val="1"/>
            <c:bubble3D val="0"/>
            <c:spPr>
              <a:solidFill>
                <a:srgbClr val="80AE9A"/>
              </a:solidFill>
              <a:ln w="19050">
                <a:solidFill>
                  <a:srgbClr val="80AE9A"/>
                </a:solidFill>
              </a:ln>
              <a:effectLst/>
            </c:spPr>
            <c:extLst xmlns:c16r2="http://schemas.microsoft.com/office/drawing/2015/06/chart">
              <c:ext xmlns:c16="http://schemas.microsoft.com/office/drawing/2014/chart" uri="{C3380CC4-5D6E-409C-BE32-E72D297353CC}">
                <c16:uniqueId val="{00000003-677D-496F-947C-D37A59CC88E5}"/>
              </c:ext>
            </c:extLst>
          </c:dPt>
          <c:dPt>
            <c:idx val="2"/>
            <c:bubble3D val="0"/>
            <c:spPr>
              <a:solidFill>
                <a:srgbClr val="2066A8"/>
              </a:solidFill>
              <a:ln w="19050">
                <a:solidFill>
                  <a:srgbClr val="2066A8"/>
                </a:solidFill>
              </a:ln>
              <a:effectLst/>
            </c:spPr>
            <c:extLst xmlns:c16r2="http://schemas.microsoft.com/office/drawing/2015/06/chart">
              <c:ext xmlns:c16="http://schemas.microsoft.com/office/drawing/2014/chart" uri="{C3380CC4-5D6E-409C-BE32-E72D297353CC}">
                <c16:uniqueId val="{00000005-677D-496F-947C-D37A59CC88E5}"/>
              </c:ext>
            </c:extLst>
          </c:dPt>
          <c:dPt>
            <c:idx val="3"/>
            <c:bubble3D val="0"/>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7-677D-496F-947C-D37A59CC88E5}"/>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'Heard About Harmful Substance'!$A$2:$A$5</c:f>
              <c:strCache>
                <c:ptCount val="4"/>
                <c:pt idx="0">
                  <c:v>Heavy metals</c:v>
                </c:pt>
                <c:pt idx="1">
                  <c:v>Steroids</c:v>
                </c:pt>
                <c:pt idx="2">
                  <c:v>Both</c:v>
                </c:pt>
                <c:pt idx="3">
                  <c:v>I don't know about any harmful substances</c:v>
                </c:pt>
              </c:strCache>
            </c:strRef>
          </c:cat>
          <c:val>
            <c:numRef>
              <c:f>'Heard About Harmful Substance'!$C$2:$C$5</c:f>
              <c:numCache>
                <c:formatCode>0%</c:formatCode>
                <c:ptCount val="4"/>
                <c:pt idx="0" formatCode="0.0%">
                  <c:v>6.5000000000000002E-2</c:v>
                </c:pt>
                <c:pt idx="1">
                  <c:v>0.06</c:v>
                </c:pt>
                <c:pt idx="2">
                  <c:v>0.32</c:v>
                </c:pt>
                <c:pt idx="3" formatCode="0.0%">
                  <c:v>0.55500000000000005</c:v>
                </c:pt>
              </c:numCache>
            </c:numRef>
          </c:val>
          <c:extLst xmlns:c16r2="http://schemas.microsoft.com/office/drawing/2015/06/chart">
            <c:ext xmlns:c16="http://schemas.microsoft.com/office/drawing/2014/chart" uri="{C3380CC4-5D6E-409C-BE32-E72D297353CC}">
              <c16:uniqueId val="{00000008-677D-496F-947C-D37A59CC88E5}"/>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cf2ee230-6a66-4521-bb06-ab05697e16f9}"/>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
          <c:dPt>
            <c:idx val="0"/>
            <c:bubble3D val="0"/>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1-540C-44D9-AD25-341495BD1F20}"/>
              </c:ext>
            </c:extLst>
          </c:dPt>
          <c:dPt>
            <c:idx val="1"/>
            <c:bubble3D val="0"/>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3-540C-44D9-AD25-341495BD1F20}"/>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'Do you believe heavy metals and'!$A$2:$A$3</c:f>
              <c:strCache>
                <c:ptCount val="2"/>
                <c:pt idx="0">
                  <c:v>Yes</c:v>
                </c:pt>
                <c:pt idx="1">
                  <c:v>No</c:v>
                </c:pt>
              </c:strCache>
            </c:strRef>
          </c:cat>
          <c:val>
            <c:numRef>
              <c:f>'Do you believe heavy metals and'!$C$2:$C$3</c:f>
              <c:numCache>
                <c:formatCode>0%</c:formatCode>
                <c:ptCount val="2"/>
                <c:pt idx="0">
                  <c:v>0.79</c:v>
                </c:pt>
                <c:pt idx="1">
                  <c:v>0.21</c:v>
                </c:pt>
              </c:numCache>
            </c:numRef>
          </c:val>
          <c:extLst xmlns:c16r2="http://schemas.microsoft.com/office/drawing/2015/06/chart">
            <c:ext xmlns:c16="http://schemas.microsoft.com/office/drawing/2014/chart" uri="{C3380CC4-5D6E-409C-BE32-E72D297353CC}">
              <c16:uniqueId val="{00000004-540C-44D9-AD25-341495BD1F20}"/>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2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bfff6d1b-5ab7-43ca-99b0-ce33b5248ec7}"/>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
          <c:dPt>
            <c:idx val="0"/>
            <c:bubble3D val="0"/>
            <c:spPr>
              <a:solidFill>
                <a:srgbClr val="122740"/>
              </a:solidFill>
              <a:ln w="19050">
                <a:solidFill>
                  <a:srgbClr val="122740"/>
                </a:solidFill>
              </a:ln>
              <a:effectLst/>
            </c:spPr>
            <c:extLst xmlns:c16r2="http://schemas.microsoft.com/office/drawing/2015/06/chart">
              <c:ext xmlns:c16="http://schemas.microsoft.com/office/drawing/2014/chart" uri="{C3380CC4-5D6E-409C-BE32-E72D297353CC}">
                <c16:uniqueId val="{00000001-7F01-4B5F-83E6-2BE1EB163BB0}"/>
              </c:ext>
            </c:extLst>
          </c:dPt>
          <c:dPt>
            <c:idx val="1"/>
            <c:bubble3D val="0"/>
            <c:spPr>
              <a:solidFill>
                <a:srgbClr val="326B77"/>
              </a:solidFill>
              <a:ln w="19050">
                <a:solidFill>
                  <a:srgbClr val="326B77"/>
                </a:solidFill>
              </a:ln>
              <a:effectLst/>
            </c:spPr>
            <c:extLst xmlns:c16r2="http://schemas.microsoft.com/office/drawing/2015/06/chart">
              <c:ext xmlns:c16="http://schemas.microsoft.com/office/drawing/2014/chart" uri="{C3380CC4-5D6E-409C-BE32-E72D297353CC}">
                <c16:uniqueId val="{00000003-7F01-4B5F-83E6-2BE1EB163BB0}"/>
              </c:ext>
            </c:extLst>
          </c:dPt>
          <c:dLbls>
            <c:spPr>
              <a:noFill/>
              <a:ln>
                <a:noFill/>
              </a:ln>
              <a:effectLst/>
            </c:spPr>
            <c:txPr>
              <a:bodyPr rot="0" spcFirstLastPara="1" vertOverflow="ellipsis" vert="horz" wrap="square" lIns="38100" tIns="19050" rIns="38100" bIns="19050" anchor="ctr" anchorCtr="1">
                <a:spAutoFit/>
              </a:bodyPr>
              <a:lstStyle/>
              <a:p>
                <a:pPr>
                  <a:defRPr lang="en-US" sz="1200" b="1" i="0" u="none" strike="noStrike" kern="1200" baseline="0">
                    <a:solidFill>
                      <a:schemeClr val="bg1"/>
                    </a:solidFill>
                    <a:latin typeface="Times New Roman" panose="02020603050405020304" charset="0"/>
                    <a:ea typeface="+mn-ea"/>
                    <a:cs typeface="Times New Roman" panose="02020603050405020304"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'Ingredient Awareness'!$A$2:$A$3</c:f>
              <c:strCache>
                <c:ptCount val="2"/>
                <c:pt idx="0">
                  <c:v>Yes</c:v>
                </c:pt>
                <c:pt idx="1">
                  <c:v>No</c:v>
                </c:pt>
              </c:strCache>
            </c:strRef>
          </c:cat>
          <c:val>
            <c:numRef>
              <c:f>'Ingredient Awareness'!$C$2:$C$3</c:f>
              <c:numCache>
                <c:formatCode>0.0%</c:formatCode>
                <c:ptCount val="2"/>
                <c:pt idx="0">
                  <c:v>0.56499999999999995</c:v>
                </c:pt>
                <c:pt idx="1">
                  <c:v>0.435</c:v>
                </c:pt>
              </c:numCache>
            </c:numRef>
          </c:val>
          <c:extLst xmlns:c16r2="http://schemas.microsoft.com/office/drawing/2015/06/chart">
            <c:ext xmlns:c16="http://schemas.microsoft.com/office/drawing/2014/chart" uri="{C3380CC4-5D6E-409C-BE32-E72D297353CC}">
              <c16:uniqueId val="{00000004-7F01-4B5F-83E6-2BE1EB163BB0}"/>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extLst xmlns:c16r2="http://schemas.microsoft.com/office/drawing/2015/06/chart">
      <c:ext uri="{0b15fc19-7d7d-44ad-8c2d-2c3a37ce22c3}">
        <chartProps xmlns="https://web.wps.cn/et/2018/main" chartId="{bdc484ef-e06a-4042-9b0d-695705715780}"/>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94DAA5-226D-43A6-93C3-0BB14805D1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15887</Words>
  <Characters>99443</Characters>
  <Application>Microsoft Office Word</Application>
  <DocSecurity>0</DocSecurity>
  <Lines>828</Lines>
  <Paragraphs>230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dc:creator>
  <cp:lastModifiedBy>Admin</cp:lastModifiedBy>
  <cp:revision>2</cp:revision>
  <cp:lastPrinted>2025-12-26T12:04:00Z</cp:lastPrinted>
  <dcterms:created xsi:type="dcterms:W3CDTF">2025-12-26T12:11:00Z</dcterms:created>
  <dcterms:modified xsi:type="dcterms:W3CDTF">2025-12-26T12:11:00Z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3d424baa-5fd0-45a0-9560-54b94e5a36ca</vt:lpwstr>
  </property>
  <property fmtid="{D5CDD505-2E9C-101B-9397-08002B2CF9AE}" pid="3" name="KSOProductBuildVer">
    <vt:lpwstr>1033-12.2.0.21931</vt:lpwstr>
  </property>
  <property fmtid="{D5CDD505-2E9C-101B-9397-08002B2CF9AE}" pid="4" name="ICV">
    <vt:lpwstr>6FDE49D26AF64A7D85E2F5638008828B_12</vt:lpwstr>
  </property>
</Properties>
</file>